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150D9D">
      <w:pPr>
        <w:spacing w:beforeLines="0" w:afterLines="0"/>
        <w:jc w:val="center"/>
        <w:rPr>
          <w:rFonts w:hint="default"/>
          <w:sz w:val="28"/>
          <w:szCs w:val="24"/>
        </w:rPr>
      </w:pPr>
      <w:bookmarkStart w:id="0" w:name="_GoBack"/>
      <w:bookmarkEnd w:id="0"/>
      <w:r>
        <w:rPr>
          <w:rFonts w:hint="default"/>
          <w:b/>
          <w:sz w:val="28"/>
          <w:szCs w:val="24"/>
        </w:rPr>
        <w:t>Титульний аркуш</w:t>
      </w:r>
    </w:p>
    <w:p w14:paraId="6B450C5F">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7EACD3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0B421F1E">
            <w:pPr>
              <w:spacing w:beforeLines="0" w:afterLines="0"/>
              <w:jc w:val="center"/>
              <w:rPr>
                <w:rFonts w:hint="default"/>
                <w:sz w:val="24"/>
                <w:szCs w:val="24"/>
              </w:rPr>
            </w:pPr>
            <w:r>
              <w:rPr>
                <w:rFonts w:hint="default"/>
                <w:sz w:val="24"/>
                <w:szCs w:val="24"/>
              </w:rPr>
              <w:t>17.04.2026</w:t>
            </w:r>
          </w:p>
        </w:tc>
      </w:tr>
      <w:tr w14:paraId="64B74AB0">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1EAA6937">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63E1E8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46B0FE0B">
            <w:pPr>
              <w:spacing w:beforeLines="0" w:afterLines="0"/>
              <w:jc w:val="center"/>
              <w:rPr>
                <w:rFonts w:hint="default"/>
                <w:sz w:val="24"/>
                <w:szCs w:val="24"/>
              </w:rPr>
            </w:pPr>
            <w:r>
              <w:rPr>
                <w:rFonts w:hint="default"/>
                <w:sz w:val="24"/>
                <w:szCs w:val="24"/>
              </w:rPr>
              <w:t>173</w:t>
            </w:r>
          </w:p>
        </w:tc>
      </w:tr>
      <w:tr w14:paraId="79476F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52B76ADE">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1E726AA4">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5F5120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17213B8E">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3E939447">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5425B5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61066F8E">
            <w:pPr>
              <w:spacing w:beforeLines="0" w:afterLines="0"/>
              <w:jc w:val="center"/>
              <w:rPr>
                <w:rFonts w:hint="default"/>
                <w:sz w:val="24"/>
                <w:szCs w:val="24"/>
              </w:rPr>
            </w:pPr>
            <w:r>
              <w:rPr>
                <w:rFonts w:hint="default"/>
                <w:sz w:val="24"/>
                <w:szCs w:val="24"/>
              </w:rPr>
              <w:t>т.в.о. Директора</w:t>
            </w:r>
          </w:p>
        </w:tc>
        <w:tc>
          <w:tcPr>
            <w:tcW w:w="50" w:type="dxa"/>
            <w:tcBorders>
              <w:top w:val="nil"/>
              <w:left w:val="nil"/>
              <w:bottom w:val="nil"/>
              <w:right w:val="nil"/>
              <w:tl2br w:val="nil"/>
              <w:tr2bl w:val="nil"/>
            </w:tcBorders>
            <w:noWrap w:val="0"/>
            <w:vAlign w:val="top"/>
          </w:tcPr>
          <w:p w14:paraId="4C3ECBA8">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36E44C6B">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13CA1DE2">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5783DBAA">
            <w:pPr>
              <w:spacing w:beforeLines="0" w:afterLines="0"/>
              <w:jc w:val="center"/>
              <w:rPr>
                <w:rFonts w:hint="default"/>
                <w:sz w:val="24"/>
                <w:szCs w:val="24"/>
              </w:rPr>
            </w:pPr>
            <w:r>
              <w:rPr>
                <w:rFonts w:hint="default"/>
                <w:sz w:val="24"/>
                <w:szCs w:val="24"/>
              </w:rPr>
              <w:t>Кузнєцова Мирослава Олегiвна</w:t>
            </w:r>
          </w:p>
        </w:tc>
      </w:tr>
      <w:tr w14:paraId="2589F50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403E1A0D">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4867F399">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1B740F00">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370F7162">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435670ED">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28BD6FD1">
      <w:pPr>
        <w:spacing w:beforeLines="0" w:afterLines="0"/>
        <w:jc w:val="left"/>
        <w:rPr>
          <w:rFonts w:hint="default"/>
          <w:sz w:val="20"/>
          <w:szCs w:val="24"/>
        </w:rPr>
      </w:pPr>
    </w:p>
    <w:p w14:paraId="6E2687BB">
      <w:pPr>
        <w:spacing w:beforeLines="0" w:afterLines="0"/>
        <w:jc w:val="center"/>
        <w:rPr>
          <w:rFonts w:hint="default"/>
          <w:b/>
          <w:sz w:val="24"/>
          <w:szCs w:val="24"/>
        </w:rPr>
      </w:pPr>
      <w:r>
        <w:rPr>
          <w:rFonts w:hint="default"/>
          <w:b/>
          <w:sz w:val="24"/>
          <w:szCs w:val="24"/>
        </w:rPr>
        <w:t>Річний звіт</w:t>
      </w:r>
    </w:p>
    <w:p w14:paraId="20486935">
      <w:pPr>
        <w:spacing w:beforeLines="0" w:afterLines="0"/>
        <w:jc w:val="center"/>
        <w:rPr>
          <w:rFonts w:hint="default"/>
          <w:b/>
          <w:sz w:val="24"/>
          <w:szCs w:val="24"/>
        </w:rPr>
      </w:pPr>
      <w:r>
        <w:rPr>
          <w:rFonts w:hint="default"/>
          <w:b/>
          <w:sz w:val="24"/>
          <w:szCs w:val="24"/>
        </w:rPr>
        <w:t>ПРИВАТНЕ АКЦIОНЕРНЕ ТОВАРИСТВО "КИЇВСПЕЦМОНТАЖ" (04012615)</w:t>
      </w:r>
    </w:p>
    <w:p w14:paraId="1136A206">
      <w:pPr>
        <w:spacing w:beforeLines="0" w:afterLines="0"/>
        <w:jc w:val="center"/>
        <w:rPr>
          <w:rFonts w:hint="default"/>
          <w:b/>
          <w:sz w:val="24"/>
          <w:szCs w:val="24"/>
        </w:rPr>
      </w:pPr>
      <w:r>
        <w:rPr>
          <w:rFonts w:hint="default"/>
          <w:b/>
          <w:sz w:val="24"/>
          <w:szCs w:val="24"/>
        </w:rPr>
        <w:t>за 2021 рік</w:t>
      </w:r>
    </w:p>
    <w:p w14:paraId="0A0DC83C">
      <w:pPr>
        <w:spacing w:beforeLines="0" w:afterLines="0"/>
        <w:jc w:val="center"/>
        <w:rPr>
          <w:rFonts w:hint="default"/>
          <w:b/>
          <w:sz w:val="24"/>
          <w:szCs w:val="24"/>
        </w:rPr>
      </w:pPr>
    </w:p>
    <w:p w14:paraId="2D0A03DA">
      <w:pPr>
        <w:spacing w:beforeLines="0" w:afterLines="0"/>
        <w:rPr>
          <w:rFonts w:hint="default"/>
          <w:sz w:val="24"/>
          <w:szCs w:val="24"/>
        </w:rPr>
      </w:pPr>
      <w:r>
        <w:rPr>
          <w:rFonts w:hint="default"/>
          <w:sz w:val="24"/>
          <w:szCs w:val="24"/>
        </w:rPr>
        <w:t>Рішення про затвердження річного звіту: Рішення загальних зборів акціонерів від 12.07.2022, Протокол Загальних зборiв акцiонерiв №35</w:t>
      </w:r>
    </w:p>
    <w:p w14:paraId="4D8C917B">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3B828F7C">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2C899BFE">
      <w:pPr>
        <w:spacing w:beforeLines="0" w:afterLines="0"/>
        <w:jc w:val="left"/>
        <w:rPr>
          <w:rFonts w:hint="default"/>
          <w:sz w:val="24"/>
          <w:szCs w:val="24"/>
        </w:rPr>
      </w:pPr>
    </w:p>
    <w:p w14:paraId="1AE20538">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6C0365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61E36A8A">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181D3E20">
            <w:pPr>
              <w:spacing w:beforeLines="0" w:afterLines="0"/>
              <w:jc w:val="center"/>
              <w:rPr>
                <w:rFonts w:hint="default"/>
                <w:sz w:val="24"/>
                <w:szCs w:val="24"/>
              </w:rPr>
            </w:pPr>
            <w:r>
              <w:rPr>
                <w:rFonts w:hint="default"/>
                <w:sz w:val="24"/>
                <w:szCs w:val="24"/>
              </w:rPr>
              <w:t>http://ksm.emitents.net.ua/ua/docs/?fg_id=100</w:t>
            </w:r>
          </w:p>
        </w:tc>
        <w:tc>
          <w:tcPr>
            <w:tcW w:w="1885" w:type="dxa"/>
            <w:tcBorders>
              <w:top w:val="nil"/>
              <w:left w:val="nil"/>
              <w:bottom w:val="single" w:color="auto" w:sz="6" w:space="0"/>
              <w:right w:val="nil"/>
              <w:tl2br w:val="nil"/>
              <w:tr2bl w:val="nil"/>
            </w:tcBorders>
            <w:noWrap w:val="0"/>
            <w:vAlign w:val="bottom"/>
          </w:tcPr>
          <w:p w14:paraId="55C7F019">
            <w:pPr>
              <w:spacing w:beforeLines="0" w:afterLines="0"/>
              <w:jc w:val="center"/>
              <w:rPr>
                <w:rFonts w:hint="default"/>
                <w:sz w:val="24"/>
                <w:szCs w:val="24"/>
              </w:rPr>
            </w:pPr>
            <w:r>
              <w:rPr>
                <w:rFonts w:hint="default"/>
                <w:sz w:val="24"/>
                <w:szCs w:val="24"/>
              </w:rPr>
              <w:t>24.04.2026</w:t>
            </w:r>
          </w:p>
        </w:tc>
      </w:tr>
      <w:tr w14:paraId="0C8272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11219E12">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21BA5575">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5FB2671E">
            <w:pPr>
              <w:spacing w:beforeLines="0" w:afterLines="0"/>
              <w:jc w:val="center"/>
              <w:rPr>
                <w:rFonts w:hint="default"/>
                <w:sz w:val="20"/>
                <w:szCs w:val="24"/>
              </w:rPr>
            </w:pPr>
            <w:r>
              <w:rPr>
                <w:rFonts w:hint="default"/>
                <w:sz w:val="20"/>
                <w:szCs w:val="24"/>
              </w:rPr>
              <w:t>(дата)</w:t>
            </w:r>
          </w:p>
        </w:tc>
      </w:tr>
    </w:tbl>
    <w:p w14:paraId="6C209ACA">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4C95886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00131C3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Рiчний звiт Наглядовою радою не затверджувався. Рiчний звiт затверджено Загальними зборами акцiонерiв Товариства.</w:t>
      </w:r>
    </w:p>
    <w:p w14:paraId="26FC2CE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випускало цiннi папери, за якими надається забезпечення.</w:t>
      </w:r>
    </w:p>
    <w:p w14:paraId="0CB8D0A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такi особи вiдсутнi.</w:t>
      </w:r>
    </w:p>
    <w:p w14:paraId="3A06B82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4C10315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7FA75C1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215E990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w:t>
      </w:r>
    </w:p>
    <w:p w14:paraId="6F15A8E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2A88EC7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7B9D2C7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2D691B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фiлiй або iнших вiдокремлених пiдроздiлiв.</w:t>
      </w:r>
    </w:p>
    <w:p w14:paraId="26B9746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25B4930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26A2C5F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21B12D3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58F9DFE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2CF6F98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паперiв не надається, тому що Товариство не випускало забезпечених боргових цiнних паперiв.</w:t>
      </w:r>
    </w:p>
    <w:p w14:paraId="42A3300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151EA80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3FD53AB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 крiм акцiй.</w:t>
      </w:r>
    </w:p>
    <w:p w14:paraId="26A42FE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1728BD1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22082F8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4123086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не проводило аудит фiнансової звiтностi.</w:t>
      </w:r>
    </w:p>
    <w:p w14:paraId="445B65E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65EC5E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62D9D92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2492A91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комiтетiв ради та загальний опис прийнятих рiшень не надається, тому що рада не має комiтетiв.</w:t>
      </w:r>
    </w:p>
    <w:p w14:paraId="4D90B43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тому що в Товариствi створено одноосiбний виконавчий орган.</w:t>
      </w:r>
    </w:p>
    <w:p w14:paraId="0AA83F1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755129C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22501DD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1A0DF89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2B7768A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5D4123F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68D9CB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51E256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166E8D5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641C553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7CFFA1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462A667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5F901D4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1D24CEE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7354ECA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38651B13">
      <w:pPr>
        <w:spacing w:beforeLines="0" w:afterLines="0"/>
        <w:rPr>
          <w:rFonts w:hint="default" w:ascii="Times New Roman CYR" w:hAnsi="Times New Roman CYR" w:eastAsia="Times New Roman CYR"/>
          <w:sz w:val="24"/>
          <w:szCs w:val="24"/>
        </w:rPr>
      </w:pPr>
    </w:p>
    <w:p w14:paraId="58FE5F78">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65B2722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426866D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190B1B2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590317C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0D5F217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72A172B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4DA28C5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3200181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1763582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2D4F820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46BBAEF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Інформація про розмір доходу за видами діяльності особи</w:t>
      </w:r>
    </w:p>
    <w:p w14:paraId="4250584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0E442FA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1BBA510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0028F61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709A18B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звіт про сталий розвиток</w:t>
      </w:r>
    </w:p>
    <w:p w14:paraId="1FF0B9C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Дивіденди</w:t>
      </w:r>
    </w:p>
    <w:p w14:paraId="4D59FB7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17E9375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VI. Список посилань на регульовану інформацію, яка була розкрита протягом звітного року</w:t>
      </w:r>
    </w:p>
    <w:p w14:paraId="7C264529">
      <w:pPr>
        <w:spacing w:beforeLines="0" w:afterLines="0"/>
        <w:jc w:val="left"/>
        <w:rPr>
          <w:rFonts w:hint="default" w:ascii="Times New Roman CYR" w:hAnsi="Times New Roman CYR" w:eastAsia="Times New Roman CYR"/>
          <w:sz w:val="24"/>
          <w:szCs w:val="24"/>
        </w:rPr>
      </w:pPr>
    </w:p>
    <w:p w14:paraId="69E3AA6B">
      <w:pPr>
        <w:spacing w:beforeLines="0" w:afterLines="0"/>
        <w:jc w:val="left"/>
        <w:rPr>
          <w:rFonts w:hint="default" w:ascii="Times New Roman CYR" w:hAnsi="Times New Roman CYR" w:eastAsia="Times New Roman CYR"/>
          <w:sz w:val="24"/>
          <w:szCs w:val="24"/>
        </w:rPr>
      </w:pPr>
    </w:p>
    <w:p w14:paraId="713A2313">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524118D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42B7DC9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4718C7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0D2D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33B3B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73C3A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ПРИВАТНЕ АКЦIОНЕРНЕ ТОВАРИСТВО "КИЇВСПЕЦМОНТАЖ"</w:t>
            </w:r>
          </w:p>
        </w:tc>
      </w:tr>
      <w:tr w14:paraId="2235F7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E6A7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121C3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B74E3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"КИЇВСПЕЦМОНТАЖ"</w:t>
            </w:r>
          </w:p>
        </w:tc>
      </w:tr>
      <w:tr w14:paraId="416BDD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61CBE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F6F99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C0E4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04012615</w:t>
            </w:r>
          </w:p>
        </w:tc>
      </w:tr>
      <w:tr w14:paraId="69E072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4F895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41696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663D9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29.06.1995</w:t>
            </w:r>
          </w:p>
        </w:tc>
      </w:tr>
      <w:tr w14:paraId="543752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38A8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DB77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69265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01010, Україна, м.Київ, Київ, вул. Левандовська, буд. 3-Б</w:t>
            </w:r>
          </w:p>
        </w:tc>
      </w:tr>
      <w:tr w14:paraId="6D77C1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3EC9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9ED9C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CC198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Україна, 01010, мiсто Київ, вул. Левандовська, буд. 3-Б</w:t>
            </w:r>
          </w:p>
        </w:tc>
      </w:tr>
      <w:tr w14:paraId="5D2217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FA422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B27D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E46BA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28E196A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3368D2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61DA7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5A43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1452C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4917E7A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6D40EF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D161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C78BC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BFB04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75E076A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411DE79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6B0A737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10B548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E39FC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4BE35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43EAD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dzerik@ukr.net</w:t>
            </w:r>
          </w:p>
        </w:tc>
      </w:tr>
      <w:tr w14:paraId="06EA08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E0EB2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DA881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CD9B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w:t>
            </w:r>
          </w:p>
        </w:tc>
      </w:tr>
      <w:tr w14:paraId="02B718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F98B7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F71D6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8290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+38(044)294-67-77</w:t>
            </w:r>
          </w:p>
        </w:tc>
      </w:tr>
      <w:tr w14:paraId="69B3C0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43CFC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5613C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569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100000</w:t>
            </w:r>
          </w:p>
        </w:tc>
      </w:tr>
      <w:tr w14:paraId="4C1946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55439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D6BD0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3806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5E0C4B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5605F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91AA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6632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7EB504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5ABB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A120D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C51C9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96</w:t>
            </w:r>
          </w:p>
        </w:tc>
      </w:tr>
      <w:tr w14:paraId="70A9E1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B4B9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C73E7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142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26527</w:t>
            </w:r>
          </w:p>
        </w:tc>
      </w:tr>
      <w:tr w14:paraId="0C925C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6C897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B5D3D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4899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p w14:paraId="3831839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46.14 - Дiяльнiсть посередникiв у торгiвлi машинами, промисловим устаткуванням, суднами i лiтаками</w:t>
            </w:r>
          </w:p>
          <w:p w14:paraId="0ECCDD0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68.20 - Надання в оренду й експлуатацiю власного чи орендованого нерухомого майна</w:t>
            </w:r>
          </w:p>
        </w:tc>
      </w:tr>
      <w:tr w14:paraId="38BBBD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F647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AE029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A7B45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575692A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4BAF200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54A5FCF6">
      <w:pPr>
        <w:spacing w:beforeLines="0" w:afterLines="0"/>
        <w:jc w:val="left"/>
        <w:rPr>
          <w:rFonts w:hint="default" w:ascii="Times New Roman CYR" w:hAnsi="Times New Roman CYR" w:eastAsia="Times New Roman CYR"/>
          <w:sz w:val="24"/>
          <w:szCs w:val="24"/>
        </w:rPr>
      </w:pPr>
    </w:p>
    <w:p w14:paraId="328BBE4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51AC19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AD579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20E6F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8DBF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"Райффайзен Банк"</w:t>
            </w:r>
          </w:p>
        </w:tc>
      </w:tr>
      <w:tr w14:paraId="5ACEFC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11CC6">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00287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5DE4E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14305909</w:t>
            </w:r>
          </w:p>
        </w:tc>
      </w:tr>
      <w:tr w14:paraId="558F52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12267">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C75E2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3588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UA5838080500000260011193839</w:t>
            </w:r>
          </w:p>
        </w:tc>
      </w:tr>
      <w:tr w14:paraId="2CCF18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215F9D">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3DEE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43DE5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69D7801D">
      <w:pPr>
        <w:spacing w:beforeLines="0" w:afterLines="0"/>
        <w:jc w:val="left"/>
        <w:rPr>
          <w:rFonts w:hint="default" w:ascii="Times New Roman CYR" w:hAnsi="Times New Roman CYR" w:eastAsia="Times New Roman CYR"/>
          <w:sz w:val="24"/>
          <w:szCs w:val="24"/>
        </w:rPr>
      </w:pPr>
    </w:p>
    <w:p w14:paraId="368DF985">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1E3BAFC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Судові справи: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200"/>
        <w:gridCol w:w="2200"/>
        <w:gridCol w:w="2200"/>
        <w:gridCol w:w="2200"/>
        <w:gridCol w:w="2200"/>
        <w:gridCol w:w="2200"/>
        <w:gridCol w:w="1650"/>
      </w:tblGrid>
      <w:tr w14:paraId="010D12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42372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5FE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Номер справи та дата відкриття провадження</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7D807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Найменування суду</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E5AD1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Позивач</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B6675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Відповідач</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004CF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Третя особа</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CF7F7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Позовні вимоги (в т.ч. їх розмір)</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B010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Стан розгляду справи</w:t>
            </w:r>
          </w:p>
        </w:tc>
      </w:tr>
      <w:tr w14:paraId="78279B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253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A0E87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463A8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5F0F7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7E50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E069F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CAB9A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CA158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r>
      <w:tr w14:paraId="4B72BD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08CB70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03EE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910/18384/15</w:t>
            </w:r>
          </w:p>
          <w:p w14:paraId="371D6D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28.01.2016</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5127C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Господарський суд м. Києва</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09A06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ПрАТ "Київспецмонтаж"</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39691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Український консорцiум "Екосорб"</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0D3B05">
            <w:pPr>
              <w:spacing w:beforeLines="0" w:afterLines="0"/>
              <w:jc w:val="center"/>
              <w:rPr>
                <w:rFonts w:hint="default" w:ascii="Times New Roman CYR" w:hAnsi="Times New Roman CYR" w:eastAsia="Times New Roman CYR"/>
                <w:sz w:val="20"/>
                <w:szCs w:val="24"/>
              </w:rPr>
            </w:pP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1F022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Справа №910/18384/15 про банкрутство УК "ЕКОСОРБ" про стягнення 1.676.350, 04 грн. Сума боргу не повернута. Справа перебуває в провадженнi.</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14:paraId="3515451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Справа перебуває в провадженнi.</w:t>
            </w:r>
          </w:p>
        </w:tc>
      </w:tr>
    </w:tbl>
    <w:p w14:paraId="5DCF1B48">
      <w:pPr>
        <w:spacing w:beforeLines="0" w:afterLines="0"/>
        <w:jc w:val="left"/>
        <w:rPr>
          <w:rFonts w:hint="default" w:ascii="Times New Roman CYR" w:hAnsi="Times New Roman CYR" w:eastAsia="Times New Roman CYR"/>
          <w:sz w:val="20"/>
          <w:szCs w:val="24"/>
        </w:rPr>
      </w:pPr>
    </w:p>
    <w:p w14:paraId="69561535">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2F83C7A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600647A6">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7A21DA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4771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E9DC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6D94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439F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519471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5ECB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0FB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8173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3DB2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4A8374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28D8F9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05517B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5320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EB85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Грозний  Юрiй  Володимирович</w:t>
            </w:r>
          </w:p>
        </w:tc>
      </w:tr>
      <w:tr w14:paraId="6F3943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402935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73A0DF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Наглядова рада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6B80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4053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 - Голова Наглядової ради</w:t>
            </w:r>
          </w:p>
          <w:p w14:paraId="4414F7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Кузнєцова Мирослава Олегiвна - Член Наглядової ради</w:t>
            </w:r>
          </w:p>
          <w:p w14:paraId="475F3A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Макаренко Галина Венаминiвна -Член Наглядової ради</w:t>
            </w:r>
          </w:p>
        </w:tc>
      </w:tr>
      <w:tr w14:paraId="2367C8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3D62D4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23FF73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ED80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 фiзичнi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A990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Акцiонери, згiдно з реєстром</w:t>
            </w:r>
          </w:p>
        </w:tc>
      </w:tr>
      <w:tr w14:paraId="465F05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41787C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4D6B8B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Ревiзор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0FDC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6050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Ясiнська Кристина  Володимирiвна</w:t>
            </w:r>
          </w:p>
        </w:tc>
      </w:tr>
    </w:tbl>
    <w:p w14:paraId="7C553E1C">
      <w:pPr>
        <w:spacing w:beforeLines="0" w:afterLines="0"/>
        <w:jc w:val="left"/>
        <w:rPr>
          <w:rFonts w:hint="default" w:ascii="Times New Roman CYR" w:hAnsi="Times New Roman CYR" w:eastAsia="Times New Roman CYR"/>
          <w:sz w:val="22"/>
          <w:szCs w:val="24"/>
        </w:rPr>
      </w:pPr>
    </w:p>
    <w:p w14:paraId="06C2EC0F">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799122D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1B3F3DE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Рада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551662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763E7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4190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7E78A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CBA8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6588A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F4DA5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B9031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78E92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B3F29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18465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8FDC4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B759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47C380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23C3B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C3C7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2AE72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25C3F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65FBC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4F08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53EA1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A28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8134F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A6F5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064D4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0DBCE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19A4C1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9812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7A836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A188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Дзерик Володимир Iванович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AEB819">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1DB03">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E0E4E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1951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26872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08FC0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114FF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6881004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7971AC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86A45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11.04.2019</w:t>
            </w:r>
          </w:p>
          <w:p w14:paraId="22A943F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51D2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CE860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4BFFB4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3F52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B066C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Секретар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12320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Кузнєцова Мирослава Олегiвна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0F195D">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22E483">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2B14F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1983</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12ABB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94D41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F124A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6AD2251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69EA102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Провiдний iнженер з органiзацiї експлуатацiї та ремонту будiвель i споруд, виконуюча обов"язки начальника вiддiлу кадрiв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DC52B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11.04.2019</w:t>
            </w:r>
          </w:p>
          <w:p w14:paraId="192213D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D76ED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23A3E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r w14:paraId="599F06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4702B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90C9A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05A71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Макаренко Галина Венаминiвна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394EF">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77521B">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25155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FC7C0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9EE87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547E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109EA65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438236F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Бухгалтер першої категорiї</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1F4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11.04.2019</w:t>
            </w:r>
          </w:p>
          <w:p w14:paraId="4BBE2D4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30094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B75B3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6AF8C22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608067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92F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929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72C6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B58A4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19716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793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F533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BA96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75EC2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8B98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0EC6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BF726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2D91EF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88D0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BC088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EF1B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0922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96BB0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2C43D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DE673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883B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D064F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AB4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32B39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F815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20C5D7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0268A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4859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F7995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Грозний Юрiй Володимирович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EBC4D9">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B90527">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07912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1982</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D098B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53F2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C43D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6755D75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5EE7936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A5E31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11.04.2019</w:t>
            </w:r>
          </w:p>
          <w:p w14:paraId="12BE6FD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B254D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2F4B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284073E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Інші посадові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528AFB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A7C91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C5A1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E5189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D0827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1328E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FD55B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B9CF8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0A25C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F9D7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623C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ECB4C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033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3316B2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0836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3BB7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CE520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F606A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6C00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625A7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280E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A2FBC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67497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3C2B3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96638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82AAA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1177E7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1BBB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84E1B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8F7E1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Бурлака Лiдiя Олександрiвна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DCDB0B">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F28A01">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3F95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1957</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F894B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0336A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8F8C0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ПрАТ "Київспецмонтаж"</w:t>
            </w:r>
          </w:p>
          <w:p w14:paraId="68A5AE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42B59A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62AC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25.06.2001</w:t>
            </w:r>
          </w:p>
          <w:p w14:paraId="252C35D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A3C0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34FEC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23E0AE03">
      <w:pPr>
        <w:spacing w:beforeLines="0" w:afterLines="0"/>
        <w:jc w:val="left"/>
        <w:rPr>
          <w:rFonts w:hint="default" w:ascii="Times New Roman CYR" w:hAnsi="Times New Roman CYR" w:eastAsia="Times New Roman CYR"/>
          <w:sz w:val="20"/>
          <w:szCs w:val="24"/>
        </w:rPr>
      </w:pPr>
    </w:p>
    <w:p w14:paraId="3F002CF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1630A6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159E36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A9104D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E7F6F9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642797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9BD1A9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0FAD5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A65B12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7B9E0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0B67F8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BE9FDA0">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0A00958">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447A45E">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27F31B6">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4E754F0">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55EAB5F">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8834E06">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141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9FAD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354370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0314B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F81FB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EC068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D8DD2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956CD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2D4D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E5D2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645DE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740E3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1716969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2B719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1B94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7BE3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Грозний Юрiй Володимирович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B8E906">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EECA5D">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9CE88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E7F5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94646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EB4D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494E95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413A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32146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77A8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Дзерик Володимир Iванович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0AB33F">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02657D">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63E66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1 620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400D6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7529A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1 620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806E6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59923A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3CBFC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DAA19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Секретар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F90C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Кузнєцова Мирослава Олегiвна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0836C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45FBF6">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9F511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BF31E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010BD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F8B3B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39C5BA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1909A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21CE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41523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Макаренко Галина Венаминiвна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81C327">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D4F281">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241A4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F9744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0,75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067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38AD2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2972B3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B1270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67FEF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C2EB7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Бурлака Лiдiя Олександрiвна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F9C99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643E54">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8463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84510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090F5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B6F6B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54190DFB">
      <w:pPr>
        <w:spacing w:beforeLines="0" w:afterLines="0"/>
        <w:jc w:val="left"/>
        <w:rPr>
          <w:rFonts w:hint="default" w:ascii="Times New Roman CYR" w:hAnsi="Times New Roman CYR" w:eastAsia="Times New Roman CYR"/>
          <w:sz w:val="20"/>
          <w:szCs w:val="24"/>
        </w:rPr>
      </w:pPr>
    </w:p>
    <w:p w14:paraId="1448F082">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66BD2BEB">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52EA2EC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http://ksm.emitents.net.ua/ua/docs/?fg_id=102</w:t>
      </w:r>
    </w:p>
    <w:p w14:paraId="12586237">
      <w:pPr>
        <w:spacing w:beforeLines="0" w:afterLines="0"/>
        <w:jc w:val="left"/>
        <w:rPr>
          <w:rFonts w:hint="default" w:ascii="Times New Roman CYR" w:hAnsi="Times New Roman CYR" w:eastAsia="Times New Roman CYR"/>
          <w:sz w:val="24"/>
          <w:szCs w:val="24"/>
        </w:rPr>
      </w:pPr>
    </w:p>
    <w:p w14:paraId="1784BDE1">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3E4EA1F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http://ksm.emitents.net.ua/ua/docs/?fg_id=102</w:t>
      </w:r>
    </w:p>
    <w:p w14:paraId="68645123">
      <w:pPr>
        <w:spacing w:beforeLines="0" w:afterLines="0"/>
        <w:jc w:val="left"/>
        <w:rPr>
          <w:rFonts w:hint="default" w:ascii="Times New Roman CYR" w:hAnsi="Times New Roman CYR" w:eastAsia="Times New Roman CYR"/>
          <w:sz w:val="24"/>
          <w:szCs w:val="24"/>
        </w:rPr>
      </w:pPr>
    </w:p>
    <w:p w14:paraId="77957135">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2C059D3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1168457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044C763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5CC9880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47ABDA0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210D229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Застосованi принципи та методи бухгалтерського облiку ПрАТ "Київспецмонтаж", визначенi в наказi про облiкову полiтику №36 вiд "05" лютого 2020 року, вiдповiдають вимогам Нацiонального положення (стандарту) бухгалтерського облiку 1 "Загальнi вимоги до фiнансової звiтностi" та iнших НП(С)БО, що дiють станом на 31.12.21 р., Закону України "Про бухгалтерський облiк та фiнансову звiтнiсть в Українi" вiд 16.07.99р. № 996-ХIV ( зi змiнами та доповненнями ) та iнших нормативних документiв з питань органiзацiї бухгалтерського облiку в Українi. Облiкова полiтика встановлена з використанням наступних принципiв облiку:  обачнiсть,  повне висвiтлення,  автономнiсть,  послiдовнiсть,  безперервнiсть дiяльностi,  нарахування та вiдповiдностi доходiв та витрат,  превалювання сутностi над формою,  iсторичної (фактичної собiвартостi,  єдиного грошового вимiрника,  перiодичностi. Основнi положення облiкової полiтики Товариства: Знос основних засобiв нараховується згiдно П(С)БО № 7 "Основнi засоби" та у вiдповiдностi до облiкової полiтики iз застосуванням прямолiнiйного методу за нормами корисного використання, передбачених Податковим кодексом України в розрiзi кожного окремого iнвентарного об'єкта. Амортизацiя МНМА нараховується у розмiрi 100% при передачi в експлуатацiю. Облiк вартостi запасiв ведеться за цiнами придбання. Балансова вартiсть запасiв на кiнець звiтного перiоду вiдображена в фiнансовiй звiтностi повнiстю, в розрiзi окремих класифiкацiйних груп . При списаннi запасiв, у вiдповiдностi до облiкової полiтики Товариства, застосовуються наступнi методи:  Для запасiв, якi придбанi для використання на конкретному об'єктi: метод iдентифiкованої вартостi вiдповiдної одиницi запасiв;  Для запасiв, якi використовуються у виробництвi готової продукцiї, МШП, запаснi частини, паливо: метод ФIФО. Резерв сумнiвних боргiв нараховується за методом абсолютної суми сумнiвної заборгованостi. Дебiторська заборгованiсть вiдображається в балансi по чистiй реалiзацiйнiй вартостi та вiдповiдає вимогам Положення (стандарту) №10 "Дебiторська заборгованiсть, затвердженого наказом Мiнфiну України № 237 вiд 08.10.1999 року Бухгалтерський облiк та оцiнка зобов'язань здiйснюється згiдно П(С)БО 11 "Зобов'язання та Iнструкцiї про застосування Плану рахункiв бухгалтерського облiку активiв, капiталу, зобов'язань i господарських операцiй пiдприємств i органiзацiй, затвердженої наказом Мiнфiну України вiд 30.11.1999 р. №291. Створюються наступнi резерви та забезпечення:  Резерв на виплату вiдпусток працiвникам, Резерв сумнiвних боргiв, Забезпечення витрат на охорону працi.</w:t>
      </w:r>
    </w:p>
    <w:p w14:paraId="00B2A32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157312E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Фiнансова полiтика базується на використаннi  власних коштiв для забезпечення стабiльної дiяльностi та покриття поточних зобов'язань. Робочий капiтал пiдтримується на рiвнi, достатньому для безперервного функцiонування. Покращення лiквiдностi досягається оптимiзацiєю дебiторської заборгованостi, контролем залишкiв ТМЦ . Прiоритет надається власним джерелам (чистий прибуток) для фiнансування операцiйної дiяльностi.</w:t>
      </w:r>
    </w:p>
    <w:p w14:paraId="027F7AD5">
      <w:pPr>
        <w:spacing w:beforeLines="0" w:afterLines="0"/>
        <w:rPr>
          <w:rFonts w:hint="default" w:ascii="Times New Roman CYR" w:hAnsi="Times New Roman CYR" w:eastAsia="Times New Roman CYR"/>
          <w:sz w:val="24"/>
          <w:szCs w:val="24"/>
        </w:rPr>
      </w:pPr>
    </w:p>
    <w:p w14:paraId="7EA6DB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170EFE8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2EC7F99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094C7F1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4AF9C7B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займається монтажем водопровiдних мереж, систем опалення та кондицiонування. Також видами дiяльнностi є: Дiяльнiсть посередникiв у торгiвлi машинами, промисловим устаткуванням, суднами i лiтаками та Надання в оренду й експлуатацiю власного чи орендованого нерухомого майна.</w:t>
      </w:r>
    </w:p>
    <w:p w14:paraId="0E1B50E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0EC55F3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Монтаж водопровiдних мереж,систем опалення та кондицiонування - 76505 тис. грн..</w:t>
      </w:r>
    </w:p>
    <w:p w14:paraId="0217A7E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посередникiв у торгiвлi машинами, промисловим устаткуванням, суднами i лiтаками - 914 тис. грн.</w:t>
      </w:r>
    </w:p>
    <w:p w14:paraId="6294BC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Надання в оренду й експлуатацiю власного чи орендованого нерухомого майна - 1702 тис.грн.  </w:t>
      </w:r>
    </w:p>
    <w:p w14:paraId="06342D8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3)середньореалiзацiйнi цiни продуктiв.   </w:t>
      </w:r>
    </w:p>
    <w:p w14:paraId="5499757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займається монтажними роботами.  Середньореалiзацiйнi цiни продуктiв не визначалися.</w:t>
      </w:r>
    </w:p>
    <w:p w14:paraId="0C3639F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23921D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розмiр доходу за звiтний рiк 79121 тис.грн.</w:t>
      </w:r>
    </w:p>
    <w:p w14:paraId="6E7B094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39F35A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577BA86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3A6E034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19BA4A1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  Основним клiєнтом в 2021р. була Компанiя Stolitsa Group по об'єктах ЖК "Патрiотика та "Еврiка" на суму -9914,67 тис. грн..</w:t>
      </w:r>
    </w:p>
    <w:p w14:paraId="4B582EA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8) ринки збуту та країни, в яких особою здiйснюється дiяльнiсть.  </w:t>
      </w:r>
    </w:p>
    <w:p w14:paraId="120FA85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дiяльнiсть на територiї України.</w:t>
      </w:r>
    </w:p>
    <w:p w14:paraId="3E1F22E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9)канали збуту.  </w:t>
      </w:r>
    </w:p>
    <w:p w14:paraId="5C0639C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Виконання будiвельно-монтажних робiт здiйснюється на основi укладених договорiв. </w:t>
      </w:r>
    </w:p>
    <w:p w14:paraId="674C47C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10) основнi постачальники та види товарiв та/або послуг, якi вони постачають/надають особi, країни з яких здiйснюється постачання/надання товарiв/послуг. </w:t>
      </w:r>
    </w:p>
    <w:p w14:paraId="36F2232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Постачальниками є виробники обладнання та комплектуючих, а виробничi та iнженернi послуги здiйснюються переважно власними силами компанiї. Iнформацiя про конкретних контрагентiв є комерцiйною таємницею. Виходячи зi специфiки дiяльностi, постачання здiйснюється вiд провiдних європейських  та українських виробникiв. Компанiя знаходиться та здiйснює основну дiяльнiсть у м. Київ, Україна.</w:t>
      </w:r>
    </w:p>
    <w:p w14:paraId="153B14D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1FD99F5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спецiалiзується на монтажi водопровiдних мереж, систем опалення та кондицiонування. У 2021 р. галузь будiвництва в Українi, характеризувалася такими ключовими особливостями:</w:t>
      </w:r>
    </w:p>
    <w:p w14:paraId="7EAED16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Пiсля пандемiчного спаду 2020 року, у 2021 роцi спостерiгалося активне вiдновлення. Загальний обсяг виконаних будiвельних робiт в Українi зрiс на 5,1% порiвняно з попереднiм роком. Найвищi темпи зростання продемонструвало будiвництво iнженерних споруд та нежитлових будiвель. 2021 рiк став ключовим у реформуваннi сфери мiстобудування.</w:t>
      </w:r>
    </w:p>
    <w:p w14:paraId="508DBA0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2021 р. суттєво зросла вартiсть будiвельних матерiалiв та енергоносiїв, що мало вплив на рентабельнiсть проєктiв.</w:t>
      </w:r>
    </w:p>
    <w:p w14:paraId="72D1D0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28FD676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2021 р. дiяльнiсть товариства була зосереджена на монтажi водопровiдних мереж,систем опалення та кондицiонування, що передбачало використання специфiчних монтажних та проєктних технологiй.</w:t>
      </w:r>
    </w:p>
    <w:p w14:paraId="2208232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663448F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Станом на 2021 рiк ПрАТ "КИЇВСПЕЦМОНТАЖ"  займало стабiльну позицiю на ринку спецiалiзованих будiвельних послуг, зокрема у нiшi монтажу iнженерних мереж.</w:t>
      </w:r>
    </w:p>
    <w:p w14:paraId="075FA76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Пiдприємство дiє переважно в Київському регiонi. Статус приватного акцiонерного товариства та багаторiчна iсторiя дозволяють компанiї брати участь у великих iнфраструктурних проектах .</w:t>
      </w:r>
    </w:p>
    <w:p w14:paraId="575EA03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конкуренцiї в галузi, основнi конкуренти особи.</w:t>
      </w:r>
    </w:p>
    <w:p w14:paraId="29E7C52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Рiвень конкуренцiї в галузi характеризується як високий, що зумовлено специфiкою галузi будiвництва та значною кiлькiстю гравцiв у київському регiонi. </w:t>
      </w:r>
    </w:p>
    <w:p w14:paraId="0C6A1BA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Бiльшiсть об'єктiв зосереджена в столичному регiонi, де спостерiгається найвища концентрацiя капiталу та будiвельних потужностей в Українi. </w:t>
      </w:r>
    </w:p>
    <w:p w14:paraId="4C6329E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Основними конкурентами ПРАТ "КИЇВСПЕЦМОНТАЖ" є пiдприємства, що спецiалiзуються на загальнобудiвельних та спецiальних монтажних роботах у Києвi. До них належать компанiї подiбного масштабу та профiлю:</w:t>
      </w:r>
    </w:p>
    <w:p w14:paraId="317B393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"Київмiськбуд" - один iз найбiльших девелоперiв, що конкурує в сегментi житлового будiвництва.</w:t>
      </w:r>
    </w:p>
    <w:p w14:paraId="3FC442E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 "Енерговентиляцiя",  ТОВ " ХК Енергомонтажвентиляцiя" та подiбнi приватнi компанiї, що активно працюють у сферi монтажних  робiт.</w:t>
      </w:r>
    </w:p>
    <w:p w14:paraId="6F1E583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"Київспецбуд та ПрАТ "Київопорядкомплект", якi надають послуги зi спецмонтажу та реконструкцiї. </w:t>
      </w:r>
    </w:p>
    <w:p w14:paraId="13FB4A0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у 2021 роцi утримувало стабiльнi позицiї на ринку завдяки наявностi власної виробничої бази та досвiду реалiзацiї складних iнженерних об'єктiв.</w:t>
      </w:r>
    </w:p>
    <w:p w14:paraId="20FE5A7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201107F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Стратегiчнi цiлi та перспективнi плани товариства базуються на змiцненнi позицiй на ринку спецiалiзованих будiвельних робiт та розширеннi спектру послуг.</w:t>
      </w:r>
    </w:p>
    <w:p w14:paraId="2E2D7CF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Основними напрямами розвитку є:</w:t>
      </w:r>
    </w:p>
    <w:p w14:paraId="1FD6C91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Розробка проєктно-кошторисної документацiї та впровадження сучасних iнженерних рiшень у будiвництвi.</w:t>
      </w:r>
    </w:p>
    <w:p w14:paraId="34BBA7E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Прiоритетом залишається виконання робiт iз монтажу систем вентиляцiї, кондицiювання повiтря, опалення та водопостачання.</w:t>
      </w:r>
    </w:p>
    <w:p w14:paraId="0DE627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330F330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5447E71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3893953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процесi господарської дiяльностi Товариство зазнає впливу фiнансових ризикiв, зокрема цiнового, кредитного ризику та ризику лiквiдностi грошових потокiв. Полiтика управлiння ризиками спрямована на їх своєчасне виявлення, оцiнку та мiнiмiзацiю можливого негативного впливу на фiнансовий стан пiдприємства.</w:t>
      </w:r>
    </w:p>
    <w:p w14:paraId="4E0F066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Цiновий ризик пов'язаний зi змiнами ринкових цiн на матерiали. Товариство здiйснює монiторинг ринкової ситуацiї та, за можливостi, враховує вiдповiднi змiни при формуваннi договiрних умов. Схильнiсть до цiнового ризику оцiнюється як помiрна.</w:t>
      </w:r>
    </w:p>
    <w:p w14:paraId="02C96C2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Кредитний ризик виникає у зв'язку з iмовiрнiстю невиконання контрагентами своїх зобов'язань. З метою його зниження здiйснюється контроль за станом дебiторської заборгованостi та оцiнка платоспроможностi контрагентiв. Схильнiсть до кредитного ризику є контрольованою.</w:t>
      </w:r>
    </w:p>
    <w:p w14:paraId="7C9F0C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Ризик лiквiдностi грошових потокiв пов'язаний iз можливiстю недостатностi коштiв для своєчасного виконання зобов'язань. Управлiння ризиком здiйснюється шляхом планування грошових потокiв. Схильнiсть до ризику лiквiдностi оцiнюється як помiрна.</w:t>
      </w:r>
    </w:p>
    <w:p w14:paraId="665DFE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5C5FBE7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Стратегiчнi цiлi та перспективнi плани товариства базуються на змiцненнi позицiй на ринку спецiалiзованих будiвельних робiт та розширеннi спектру послуг.</w:t>
      </w:r>
    </w:p>
    <w:p w14:paraId="5A2231F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Основними напрямами розвитку є:</w:t>
      </w:r>
    </w:p>
    <w:p w14:paraId="2BDDA6B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Розробка проєктно-кошторисної документацiї та впровадження сучасних iнженерних рiшень у будiвництвi.</w:t>
      </w:r>
    </w:p>
    <w:p w14:paraId="5E54FE4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Прiоритетом залишається виконання робiт iз монтажу систем вентиляцiї, кондицiювання повiтря, опалення та водопостачання.</w:t>
      </w:r>
    </w:p>
    <w:p w14:paraId="7C34B9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Оптимiзацiя витрат та пiдвищення ефективностi використання оборотних коштiв.</w:t>
      </w:r>
    </w:p>
    <w:p w14:paraId="249714B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5B8DF9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основних засобiв по роках:  2017 рiк - 1309 тис.грн., 2018 рiк - 2159 тис.грн., 2019 рiк - 4139 тис.грн., 2020 рiк - 1131 тис.грн., 2021 рiк - 1602 тис.грн. Вибуло основних засобiв по роках: 2017 рiк - 5 тис.грн., 2018 рiк - 27 тис.грн., 2019 рiк - 425 тис.грн., 2020 рiк - 81 тис.грн., 2021 рiк - 898 тис.грн.</w:t>
      </w:r>
    </w:p>
    <w:p w14:paraId="0165D5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Будь-якi значнi iнвестицiї або придбання не плануються.</w:t>
      </w:r>
    </w:p>
    <w:p w14:paraId="57D32E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6039DE5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Станом на 31.12.2021 р. первiсна вартiсть основних засобiв становить 41584 тис.грн., а саме:</w:t>
      </w:r>
    </w:p>
    <w:p w14:paraId="3E1727D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будiвлi i споруди 30059 тис.грн., машини та обладнання 5651 тис.грн., транспортнi засоби 2450 тис.грн., земельнi дiлянки 824 тис.грн., iншi 2600 тис.грн. </w:t>
      </w:r>
    </w:p>
    <w:p w14:paraId="5D23968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Виробничi потужностi використовуються вiдповiдно до обсягiв замовлень на будiвельно-монтажнi роботи. Ступiнь використання основних засобiв 100%.   Обмеження у використаннi основних засобiв вiдсутнi.</w:t>
      </w:r>
    </w:p>
    <w:p w14:paraId="291B428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Основнi засоби Товариства згрупованi вiдповiдно до їх функцiонального призначення та класифiкацiї, визначеної облiковою полiтикою пiдприємства. До складу основних засобiв належать будiвлi та споруди, машини та обладнання, транспортнi засоби, iнструменти, прилади та iнвентар, а також iншi основнi засоби.</w:t>
      </w:r>
    </w:p>
    <w:p w14:paraId="2EF78AE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Строки корисного використання об'єктiв основних засобiв встановлюються з урахуванням вимог чинного податкового законодавства та застосовуються при нарахуваннi амортизацiї. При визначеннi строкiв експлуатацiї враховуються технiчнi характеристики активiв, очiкуваний строк їх корисного використання, умови експлуатацiї, а також рiвень фiзичного та морального зносу. У разi необхiдностi строки корисного використання переглядаються вiдповiдно до змiн умов експлуатацiї або технiчного стану об'єктiв.</w:t>
      </w:r>
    </w:p>
    <w:p w14:paraId="75C72D3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Експлуатацiя основних засобiв здiйснюється в умовах, що вiдповiдають їх технiчним характеристикам та призначенню. Об'єкти використовуються переважно у звичайному режимi роботи. Товариством забезпечується  технiчне обслуговування основних засобiв, проводяться ремонтнi роботи з метою пiдтримання їх у робочому станi.</w:t>
      </w:r>
    </w:p>
    <w:p w14:paraId="6A4221A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Ступiнь використання основних засобiв характеризується рiвнем їх фактичного завантаження у процесi господарської дiяльностi. Бiльшiсть об'єктiв основних засобiв використовується за призначенням та забезпечує отримання економiчних вигод. </w:t>
      </w:r>
    </w:p>
    <w:p w14:paraId="677E627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Мiсцезнаходження основних засобiв: м. Київ вул. Левандовська, буд.3/Б.</w:t>
      </w:r>
    </w:p>
    <w:p w14:paraId="2668C91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Екологiчнi питання на використання активiв пiдприємства не впливають. Капiтальне будiвництво, розширення або удосконалення основних засобiв не планується.</w:t>
      </w:r>
    </w:p>
    <w:p w14:paraId="414F79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26981FB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Дiяльнiсть Товариства безпосередньо залежить вiд обсягiв фiнансування будiвництва його партнерами. Коливання цiн на будiвельнi матерiали та енергоносiї пiдвищують собiвартiсть послуг. Дiяльнiсть пiдприємства суворо регламентована необхiднiстю наявностi дiючих лiцензiй на проведення спецiалiзованих будiвельних та монтажних робiт. Дiяльнiсть Товариства також залежить вiд змiн податкового законодавства. Спостерiгається дефiцит квалiфiкованих кадрiв. </w:t>
      </w:r>
    </w:p>
    <w:p w14:paraId="648FA30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3A9FB8F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598AC00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17DE987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- 96 осiб. Позаштатних працiвникiв - немає. Осiб, якi працюють за сумiсництвом - 3. Працiвникiв, якi працюють на умовах неповного робочого часу (дня, тижня) - 2. Розмiр фонду оплати працi за звiтний перiод   25504,171  тис.грн..</w:t>
      </w:r>
    </w:p>
    <w:p w14:paraId="78165FB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632A7E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5AC839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6AFEB27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46665267">
      <w:pPr>
        <w:spacing w:beforeLines="0" w:afterLines="0"/>
        <w:jc w:val="left"/>
        <w:rPr>
          <w:rFonts w:hint="default" w:ascii="Times New Roman CYR" w:hAnsi="Times New Roman CYR" w:eastAsia="Times New Roman CYR"/>
          <w:sz w:val="24"/>
          <w:szCs w:val="24"/>
        </w:rPr>
      </w:pPr>
    </w:p>
    <w:p w14:paraId="26ECB78B">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отриманих особою ліцензій</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155"/>
        <w:gridCol w:w="1500"/>
        <w:gridCol w:w="1065"/>
        <w:gridCol w:w="3000"/>
        <w:gridCol w:w="1200"/>
      </w:tblGrid>
      <w:tr w14:paraId="01C8EE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D40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6456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5CA7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BAC3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 державної влади, що видав ліцензію</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838E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закінчення строку дії ліцензії (за наявності)</w:t>
            </w:r>
          </w:p>
        </w:tc>
      </w:tr>
      <w:tr w14:paraId="37417B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B806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5183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3A0F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64AF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6F9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r>
      <w:tr w14:paraId="6757C6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top"/>
          </w:tcPr>
          <w:p w14:paraId="4CA99A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послуг i виконання робiт протипожежного призначення</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3568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АЕ №522839</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557FBE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25.12.2014</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9BB1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СЛУЖБА УКРАЇНИ З НАДЗВИЧАЙНИХ СИТУАЦIЙ</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D4A21A">
            <w:pPr>
              <w:spacing w:beforeLines="0" w:afterLines="0"/>
              <w:jc w:val="center"/>
              <w:rPr>
                <w:rFonts w:hint="default" w:ascii="Times New Roman CYR" w:hAnsi="Times New Roman CYR" w:eastAsia="Times New Roman CYR"/>
                <w:sz w:val="22"/>
                <w:szCs w:val="24"/>
              </w:rPr>
            </w:pPr>
          </w:p>
        </w:tc>
      </w:tr>
      <w:tr w14:paraId="522D8B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top"/>
          </w:tcPr>
          <w:p w14:paraId="6DB8D2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Господарська дiяльнiсть у будiвництвi, повязана iз створенням об'єктiв архiтектури</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276A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19 - Л</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4CC4E0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25.05.2016</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BED4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АРХIТЕКТУРНО-БУДIВЕЛЬНА IНСПЕКЦIЯ  УКРАЇНИ</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5D9AC2">
            <w:pPr>
              <w:spacing w:beforeLines="0" w:afterLines="0"/>
              <w:jc w:val="center"/>
              <w:rPr>
                <w:rFonts w:hint="default" w:ascii="Times New Roman CYR" w:hAnsi="Times New Roman CYR" w:eastAsia="Times New Roman CYR"/>
                <w:sz w:val="22"/>
                <w:szCs w:val="24"/>
              </w:rPr>
            </w:pPr>
          </w:p>
        </w:tc>
      </w:tr>
    </w:tbl>
    <w:p w14:paraId="2C69D124">
      <w:pPr>
        <w:spacing w:beforeLines="0" w:afterLines="0"/>
        <w:jc w:val="left"/>
        <w:rPr>
          <w:rFonts w:hint="default" w:ascii="Times New Roman CYR" w:hAnsi="Times New Roman CYR" w:eastAsia="Times New Roman CYR"/>
          <w:sz w:val="22"/>
          <w:szCs w:val="24"/>
        </w:rPr>
      </w:pPr>
    </w:p>
    <w:p w14:paraId="6E2A5390">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основні засоби (за залишковою вартістю)</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58"/>
        <w:gridCol w:w="1260"/>
        <w:gridCol w:w="1080"/>
        <w:gridCol w:w="1260"/>
        <w:gridCol w:w="1080"/>
        <w:gridCol w:w="1260"/>
        <w:gridCol w:w="1082"/>
      </w:tblGrid>
      <w:tr w14:paraId="2D8FC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A44B7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основних засобів</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FDD8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Власні основні засоби, тис. грн</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FC6B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Орендовані основні засоби, тис. грн</w:t>
            </w:r>
          </w:p>
        </w:tc>
        <w:tc>
          <w:tcPr>
            <w:tcW w:w="23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C46E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 усього, тис. грн</w:t>
            </w:r>
          </w:p>
        </w:tc>
      </w:tr>
      <w:tr w14:paraId="5A94E6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2AF4ED">
            <w:pPr>
              <w:spacing w:beforeLines="0" w:afterLines="0"/>
              <w:jc w:val="center"/>
              <w:rPr>
                <w:rFonts w:hint="default" w:ascii="Times New Roman CYR" w:hAnsi="Times New Roman CYR" w:eastAsia="Times New Roman CYR"/>
                <w:sz w:val="22"/>
                <w:szCs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413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5915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B628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D6EA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D3FD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1144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r>
      <w:tr w14:paraId="600742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D362F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44D2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21 925</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A6CE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20 488</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FA25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8BBA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9A93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21 925</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F05D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20 488</w:t>
            </w:r>
          </w:p>
        </w:tc>
      </w:tr>
      <w:tr w14:paraId="55A5CB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FCDF5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3F9C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19 202</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0231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17 174</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021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E37A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2807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19 202</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DCFD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17 174</w:t>
            </w:r>
          </w:p>
        </w:tc>
      </w:tr>
      <w:tr w14:paraId="5EF680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83396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C8CB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1 371</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C40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1 974</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1E68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A124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816C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1 371</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8EE0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1 974</w:t>
            </w:r>
          </w:p>
        </w:tc>
      </w:tr>
      <w:tr w14:paraId="63ADB2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F25A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2455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969</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E1F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802</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B39C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E41E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5753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969</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F447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802</w:t>
            </w:r>
          </w:p>
        </w:tc>
      </w:tr>
      <w:tr w14:paraId="6B26D7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75982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BE7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D778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8ECE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9FAE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719A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A0EE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B8125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2106E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53A1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383</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0470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538</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6C4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7E63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0283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383</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D302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538</w:t>
            </w:r>
          </w:p>
        </w:tc>
      </w:tr>
      <w:tr w14:paraId="433E8F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6E79B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Невиробничого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75E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5 722</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FFCE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5 722</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2B03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770A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939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5 722</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15CB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5 722</w:t>
            </w:r>
          </w:p>
        </w:tc>
      </w:tr>
      <w:tr w14:paraId="6B3CF3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35725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FF59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4 465</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F33D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4 465</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A686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C3B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636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4 465</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5E88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4 465</w:t>
            </w:r>
          </w:p>
        </w:tc>
      </w:tr>
      <w:tr w14:paraId="67D615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26DE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FB1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5A16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DDD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1B6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C3C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4506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3DA92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82899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F668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FB4B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05BB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010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8A41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974E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343D7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C8B5A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531F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5F21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D286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2341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445B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F955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r>
      <w:tr w14:paraId="659B35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F9E3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інвестиційна нерухомість</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3DF1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2AA4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60D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1A4F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EC7B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0EF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04044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2569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859B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433</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15C0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433</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43DC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D78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4F1A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433</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F893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433</w:t>
            </w:r>
          </w:p>
        </w:tc>
      </w:tr>
      <w:tr w14:paraId="654390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3531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38BE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27 647</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8750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26 210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72A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D21E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A9F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27 647</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C85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26 210</w:t>
            </w:r>
          </w:p>
        </w:tc>
      </w:tr>
      <w:tr w14:paraId="52A3A9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top"/>
          </w:tcPr>
          <w:p w14:paraId="4F9DC4C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702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19F8E22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Строки та умови користування основними засобами: прямолiнiйним методом, за нормами податкового законодавства.  </w:t>
            </w:r>
          </w:p>
          <w:p w14:paraId="281CFC3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та споруди: 20 рокiв.</w:t>
            </w:r>
          </w:p>
          <w:p w14:paraId="55448BF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Передавальнi пристрої: 10-15 рокiв.</w:t>
            </w:r>
          </w:p>
          <w:p w14:paraId="48A5A40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5 рокiв.</w:t>
            </w:r>
          </w:p>
          <w:p w14:paraId="7C228D6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5 рокiв.</w:t>
            </w:r>
          </w:p>
          <w:p w14:paraId="394FB31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Iнструменти, прилади, iнвентар: 5 рокiв.</w:t>
            </w:r>
          </w:p>
          <w:p w14:paraId="3E48A02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Станом на 31.12.2021 р. первiсна вартiсть основних засобiв становить 41584 тис.грн., а саме:</w:t>
            </w:r>
          </w:p>
          <w:p w14:paraId="5D6D2CE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30059 тис.грн.,</w:t>
            </w:r>
          </w:p>
          <w:p w14:paraId="0D431C9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5651 тис.грн.,</w:t>
            </w:r>
          </w:p>
          <w:p w14:paraId="1D82E84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2450 тис.грн.,</w:t>
            </w:r>
          </w:p>
          <w:p w14:paraId="606389E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земельнi дiлянки 824 тис.грн.,</w:t>
            </w:r>
          </w:p>
          <w:p w14:paraId="72F16DF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2600 тис.грн.</w:t>
            </w:r>
          </w:p>
          <w:p w14:paraId="0FF84D2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Сума нарахованого зносу станом на 31.12.2021 р. становить 15374 тис.грн., а саме:</w:t>
            </w:r>
          </w:p>
          <w:p w14:paraId="57C6546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8420 тис.грн.,</w:t>
            </w:r>
          </w:p>
          <w:p w14:paraId="768D205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3677 тис.грн.,</w:t>
            </w:r>
          </w:p>
          <w:p w14:paraId="3EF2DBE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1648 тис.грн.,</w:t>
            </w:r>
          </w:p>
          <w:p w14:paraId="72A53C5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земельнi дiлянки 0 тис.грн.,</w:t>
            </w:r>
          </w:p>
          <w:p w14:paraId="336F883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1629 тис.грн.</w:t>
            </w:r>
          </w:p>
          <w:p w14:paraId="764FB98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зносу основних засобiв становить 36,97%:</w:t>
            </w:r>
          </w:p>
          <w:p w14:paraId="6B977E6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28,01%,</w:t>
            </w:r>
          </w:p>
          <w:p w14:paraId="4290D37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65,07%,</w:t>
            </w:r>
          </w:p>
          <w:p w14:paraId="0D9ABA5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67,27%,</w:t>
            </w:r>
          </w:p>
          <w:p w14:paraId="60893E8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земельнi дiлянки 0%,</w:t>
            </w:r>
          </w:p>
          <w:p w14:paraId="70DDBF1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24,19%.</w:t>
            </w:r>
          </w:p>
          <w:p w14:paraId="09AD240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використання основних засобiв 100%.</w:t>
            </w:r>
          </w:p>
          <w:p w14:paraId="2AE86B2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Протягом звiтного року надiйшло основних засобiв на суму 1602 тис.грн., а саме: </w:t>
            </w:r>
          </w:p>
          <w:p w14:paraId="0A8F398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247 тис.грн.,</w:t>
            </w:r>
          </w:p>
          <w:p w14:paraId="56CB703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843 тис.грн.,</w:t>
            </w:r>
          </w:p>
          <w:p w14:paraId="10FEA4F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104 тис.грн.,</w:t>
            </w:r>
          </w:p>
          <w:p w14:paraId="1CE9FEE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408 тис.грн.</w:t>
            </w:r>
          </w:p>
          <w:p w14:paraId="218EBEA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Вибуло за рiк основних засобiв за залишковою вартiстю на суму 898 тис.грн., а саме: </w:t>
            </w:r>
          </w:p>
          <w:p w14:paraId="50DC3E2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877 тис.грн.,</w:t>
            </w:r>
          </w:p>
          <w:p w14:paraId="5573241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1 тис.грн.,</w:t>
            </w:r>
          </w:p>
          <w:p w14:paraId="1718E33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20 тис.грн.</w:t>
            </w:r>
          </w:p>
          <w:p w14:paraId="629768F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Обмежень на використання майна немає.</w:t>
            </w:r>
          </w:p>
        </w:tc>
      </w:tr>
    </w:tbl>
    <w:p w14:paraId="749DE5EA">
      <w:pPr>
        <w:spacing w:beforeLines="0" w:afterLines="0"/>
        <w:jc w:val="left"/>
        <w:rPr>
          <w:rFonts w:hint="default" w:ascii="Times New Roman CYR" w:hAnsi="Times New Roman CYR" w:eastAsia="Times New Roman CYR"/>
          <w:sz w:val="22"/>
          <w:szCs w:val="24"/>
        </w:rPr>
      </w:pPr>
    </w:p>
    <w:p w14:paraId="7A425C8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4512E1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CAB70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5004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7F99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54F16F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A90731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E394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53 368</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2405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48 324</w:t>
            </w:r>
          </w:p>
        </w:tc>
      </w:tr>
      <w:tr w14:paraId="3D6FE1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0ECCC8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EBF1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247C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0E72BE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5F409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C2A5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AA6C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081CC4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5FD916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9A00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53 368</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D891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48 324</w:t>
            </w:r>
          </w:p>
        </w:tc>
      </w:tr>
      <w:tr w14:paraId="5BCD80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D31B89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5258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110,44</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BD5B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105,33</w:t>
            </w:r>
          </w:p>
        </w:tc>
      </w:tr>
      <w:tr w14:paraId="58C8E8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798F47E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49ECB12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Для розрахунку вартостi чистих активiв Товариства використано Методичнi рекомендацiй              щодо визначення вартостi чистих активiв акцiонерних товариств, затвердженi рiшенням ДКЦПФР вiд 17.11.2004 р. № 485.  </w:t>
            </w:r>
          </w:p>
          <w:p w14:paraId="589D90D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Рiзниця мiж розрахунковою вартiстю чистих активiв i статутним капiталом на кiнець звiтного перiоду становить 53268 тис.грн.  Рiзниця мiж розрахунковою вартiстю чистих активiв i статутним капiталом на кiнець попереднього перiоду становить 48224 тис.грн. </w:t>
            </w:r>
          </w:p>
          <w:p w14:paraId="095E421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Вартiсть чистих активiв Товариства бiльша вiд статутного капiталу. Вимоги законодавства дотримуються.</w:t>
            </w:r>
          </w:p>
        </w:tc>
      </w:tr>
    </w:tbl>
    <w:p w14:paraId="3972326D">
      <w:pPr>
        <w:spacing w:beforeLines="0" w:afterLines="0"/>
        <w:jc w:val="left"/>
        <w:rPr>
          <w:rFonts w:hint="default" w:ascii="Times New Roman CYR" w:hAnsi="Times New Roman CYR" w:eastAsia="Times New Roman CYR"/>
          <w:sz w:val="22"/>
          <w:szCs w:val="24"/>
        </w:rPr>
      </w:pPr>
    </w:p>
    <w:p w14:paraId="6E81F81F">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3CE914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7810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7DFF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0029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C0B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B8BA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5DB20B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5B991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11F2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A966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7FE0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4D63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B6C4E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F70D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38F9A9D">
            <w:pPr>
              <w:spacing w:beforeLines="0" w:afterLines="0"/>
              <w:jc w:val="center"/>
              <w:rPr>
                <w:rFonts w:hint="default" w:ascii="Times New Roman CYR" w:hAnsi="Times New Roman CYR" w:eastAsia="Times New Roman CYR"/>
                <w:sz w:val="22"/>
                <w:szCs w:val="24"/>
              </w:rPr>
            </w:pPr>
          </w:p>
        </w:tc>
      </w:tr>
      <w:tr w14:paraId="43CF6A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408DD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90E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CF0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41AE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FF06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3CE10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528E7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7B659AF">
            <w:pPr>
              <w:spacing w:beforeLines="0" w:afterLines="0"/>
              <w:jc w:val="left"/>
              <w:rPr>
                <w:rFonts w:hint="default" w:ascii="Times New Roman CYR" w:hAnsi="Times New Roman CYR" w:eastAsia="Times New Roman CYR"/>
                <w:sz w:val="22"/>
                <w:szCs w:val="24"/>
              </w:rPr>
            </w:pPr>
          </w:p>
        </w:tc>
      </w:tr>
      <w:tr w14:paraId="7E744F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D36A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6DEE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A42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A6BB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F5FA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DEEF2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9DB82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372E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6E79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00D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458C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CB5BB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AC117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2D36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09D2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CC63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9CB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3F7C8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1EAE7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B11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1A69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8839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898C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D1AFE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E53B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7E2A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0AE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7512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175D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40840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1B23E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2DA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12A1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8621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9F62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5918A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7AD00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014E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977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1 219</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8E14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D363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35DCF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9984C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4F56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8976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FB2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3918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F2EB1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1E4BB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ECA4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719D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7 436</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D650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43E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4CECB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313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630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1F43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8 655</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2FF8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C077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4AF869BD">
      <w:pPr>
        <w:spacing w:beforeLines="0" w:afterLines="0"/>
        <w:jc w:val="left"/>
        <w:rPr>
          <w:rFonts w:hint="default" w:ascii="Times New Roman CYR" w:hAnsi="Times New Roman CYR" w:eastAsia="Times New Roman CYR"/>
          <w:sz w:val="22"/>
          <w:szCs w:val="24"/>
        </w:rPr>
      </w:pPr>
    </w:p>
    <w:p w14:paraId="5028A563">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4A1E45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C8B85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DDCA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0A1F37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8BF2D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26CE38">
            <w:pPr>
              <w:spacing w:beforeLines="0" w:afterLines="0"/>
              <w:jc w:val="center"/>
              <w:rPr>
                <w:rFonts w:hint="default" w:ascii="Times New Roman CYR" w:hAnsi="Times New Roman CYR" w:eastAsia="Times New Roman CYR"/>
                <w:sz w:val="22"/>
                <w:szCs w:val="24"/>
              </w:rPr>
            </w:pPr>
          </w:p>
        </w:tc>
      </w:tr>
      <w:tr w14:paraId="1A9770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C629D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E2CF06">
            <w:pPr>
              <w:spacing w:beforeLines="0" w:afterLines="0"/>
              <w:jc w:val="center"/>
              <w:rPr>
                <w:rFonts w:hint="default" w:ascii="Times New Roman CYR" w:hAnsi="Times New Roman CYR" w:eastAsia="Times New Roman CYR"/>
                <w:sz w:val="22"/>
                <w:szCs w:val="24"/>
              </w:rPr>
            </w:pPr>
          </w:p>
        </w:tc>
      </w:tr>
      <w:tr w14:paraId="6D282F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E9437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E172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241EA1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9987B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4208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2E315A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3433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5790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52A3F9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513EC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0F77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2724D0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0BB38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5DE7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685E92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334AF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5272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01.10.2013</w:t>
            </w:r>
          </w:p>
        </w:tc>
      </w:tr>
      <w:tr w14:paraId="3E82A7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BAEF1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00FC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650B3B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C1A5A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A111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5AD919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7C89AF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22A378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8A4EB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7C2D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4AA79F95">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5711C9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C61C6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BFAE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6DA79F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3844E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73B644">
            <w:pPr>
              <w:spacing w:beforeLines="0" w:afterLines="0"/>
              <w:jc w:val="center"/>
              <w:rPr>
                <w:rFonts w:hint="default" w:ascii="Times New Roman CYR" w:hAnsi="Times New Roman CYR" w:eastAsia="Times New Roman CYR"/>
                <w:sz w:val="22"/>
                <w:szCs w:val="24"/>
              </w:rPr>
            </w:pPr>
          </w:p>
        </w:tc>
      </w:tr>
      <w:tr w14:paraId="763661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F1CA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6F8D17">
            <w:pPr>
              <w:spacing w:beforeLines="0" w:afterLines="0"/>
              <w:jc w:val="center"/>
              <w:rPr>
                <w:rFonts w:hint="default" w:ascii="Times New Roman CYR" w:hAnsi="Times New Roman CYR" w:eastAsia="Times New Roman CYR"/>
                <w:sz w:val="22"/>
                <w:szCs w:val="24"/>
              </w:rPr>
            </w:pPr>
          </w:p>
        </w:tc>
      </w:tr>
      <w:tr w14:paraId="7D9889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1CBB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13FF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0718C5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3D0DC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53C7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47B534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7538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D9E0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21D0DD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08ED5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F20F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7DEF10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CB500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EED7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199E67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7A65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1B12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18.02.2019</w:t>
            </w:r>
          </w:p>
        </w:tc>
      </w:tr>
      <w:tr w14:paraId="74558E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F32D0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C8F5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2E71BD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CE187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B8A3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6A86A7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40EF00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225CF0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D1566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0B68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1D073EF8">
      <w:pPr>
        <w:spacing w:beforeLines="0" w:afterLines="0"/>
        <w:jc w:val="left"/>
        <w:rPr>
          <w:rFonts w:hint="default" w:ascii="Times New Roman CYR" w:hAnsi="Times New Roman CYR" w:eastAsia="Times New Roman CYR"/>
          <w:sz w:val="22"/>
          <w:szCs w:val="24"/>
        </w:rPr>
      </w:pPr>
    </w:p>
    <w:p w14:paraId="52787466">
      <w:pPr>
        <w:spacing w:beforeLines="0" w:afterLines="0"/>
        <w:jc w:val="left"/>
        <w:rPr>
          <w:rFonts w:hint="default" w:ascii="Times New Roman CYR" w:hAnsi="Times New Roman CYR" w:eastAsia="Times New Roman CYR"/>
          <w:sz w:val="22"/>
          <w:szCs w:val="24"/>
        </w:rPr>
      </w:pPr>
    </w:p>
    <w:p w14:paraId="7E9554BE">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2C88A60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60B8753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716DE5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33D8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8FB7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118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E8B1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2E3D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2A8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1050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5213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5077E4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F1AF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F9A2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0DA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E3A0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011A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7A10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97BF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8B55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75F40F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3598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6EB4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простi iменнi</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1C45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№645/10/1/10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F014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2 000</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F789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50,00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336D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BA11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96C6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37D70FFF">
      <w:pPr>
        <w:spacing w:beforeLines="0" w:afterLines="0"/>
        <w:jc w:val="left"/>
        <w:rPr>
          <w:rFonts w:hint="default" w:ascii="Times New Roman CYR" w:hAnsi="Times New Roman CYR" w:eastAsia="Times New Roman CYR"/>
          <w:sz w:val="22"/>
          <w:szCs w:val="24"/>
        </w:rPr>
      </w:pPr>
    </w:p>
    <w:p w14:paraId="5D9BD09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659837E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52E1F7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AAD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D88E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D62A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719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C194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3483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AE47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BFF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8360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7930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4FC3CB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896F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D0D9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4486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5A87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E7AB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C8F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6D10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33F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91C2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DB56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4CE8A0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8F8EF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15.11.2010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757D1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№645/10/1/10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CD87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ДКЦПФР( Київське тер. Управлiння)</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ED5A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UA4000105613</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621D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1F6E5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49A20B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AC68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2 000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D20B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100 000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7A85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511D6D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DA91A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05CA9A4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7128A7E2">
      <w:pPr>
        <w:spacing w:beforeLines="0" w:afterLines="0"/>
        <w:jc w:val="left"/>
        <w:rPr>
          <w:rFonts w:hint="default" w:ascii="Times New Roman CYR" w:hAnsi="Times New Roman CYR" w:eastAsia="Times New Roman CYR"/>
          <w:sz w:val="22"/>
          <w:szCs w:val="24"/>
        </w:rPr>
      </w:pPr>
    </w:p>
    <w:p w14:paraId="1CA85F6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2CD5BA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7BC1D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D87C9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9D2AE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ED6FD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F4F84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9E3C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1FA4F8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51D7B1E">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97EEA72">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0EE0768">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9BDA85F">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B118D8B">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A0AB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D2E4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5C79E4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42AD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010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9238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DA3F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826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BF06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5B7B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787ADC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6F0C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Ремез Галина Iванiвна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D438C2">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EEAF51">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F817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B55B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B0DE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2445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5CFAF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FBB9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D26560">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97F2BF">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4578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1 620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6AA0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B713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1 620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8689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AD75D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07F8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Кравець Валентин Iванович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4F3F1C">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C73043">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D2F9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E531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79A8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1B42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000B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7D64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Балацький Федiр Петрович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6EA6A7">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353CD1">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C033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C9D3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6EDD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E358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29E1A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7C61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Гладчук Микола Васильович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EAE2BB">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48D458">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58DD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6F6E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B7E1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33F0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9920D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9A29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Макаренко Галина Венаминiвна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5F2C4C">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6AC82A">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B05D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23F7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7B49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A3DC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CD3DE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799D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Олексюк Анатолiй Сергiйович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0A1A22">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8023B7">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F887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C627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90E1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6E25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12DED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383D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Панченко Володимир Григорович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8048CF">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59CD2A">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308E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67BC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BC49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C5B4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472F7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AD12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Риндюг Ганна Миколаївна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35728C">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8F7D25">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5287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1DFF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343D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5183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D5A98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47B1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Титаровський Юрiй Iванович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3BE832">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E6E9B5">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4C28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D6AD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9582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3F0F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7D33D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BB98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165F43">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E6F492">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92AA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1 715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2521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85,75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C779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1 715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194F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4A9FC0B1">
      <w:pPr>
        <w:spacing w:beforeLines="0" w:afterLines="0"/>
        <w:jc w:val="left"/>
        <w:rPr>
          <w:rFonts w:hint="default" w:ascii="Times New Roman CYR" w:hAnsi="Times New Roman CYR" w:eastAsia="Times New Roman CYR"/>
          <w:sz w:val="22"/>
          <w:szCs w:val="24"/>
        </w:rPr>
      </w:pPr>
    </w:p>
    <w:p w14:paraId="3B71BC4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048B7E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3A50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F3B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5177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34F6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834F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8FB4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7DA3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A335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72053F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D97D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82CC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1568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A2D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D51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10C3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9D5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2EC5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7A3A84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A1A5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15.11.2010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BB0B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645/10/1/10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3D25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UA4000105613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C7B7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2 000</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9052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100 000</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5244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1 930</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56BB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A816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2A7DB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19400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0A3D6B8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Характеристика обмеження: Кiлькiсть голосуючих акцiй, права голосу за якими обмежено,  - 0.</w:t>
            </w:r>
          </w:p>
          <w:p w14:paraId="33C66A8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5FDD7D47">
      <w:pPr>
        <w:spacing w:beforeLines="0" w:afterLines="0"/>
        <w:jc w:val="left"/>
        <w:rPr>
          <w:rFonts w:hint="default" w:ascii="Times New Roman CYR" w:hAnsi="Times New Roman CYR" w:eastAsia="Times New Roman CYR"/>
          <w:sz w:val="22"/>
          <w:szCs w:val="24"/>
        </w:rPr>
      </w:pPr>
    </w:p>
    <w:p w14:paraId="2B2F4AFF">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3D14AAB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III. Фінансова інформація</w:t>
      </w:r>
    </w:p>
    <w:p w14:paraId="4EB5509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Інформація про розмір доходу за видами діяльності особи</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20"/>
        <w:gridCol w:w="2900"/>
        <w:gridCol w:w="2900"/>
      </w:tblGrid>
      <w:tr w14:paraId="15AECE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A6EA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 особи із зазначенням найменування та коду за КВЕД</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9DDF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доходу особи від реалізації продукції (товарів, робіт, послуг), тис.грн</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2EA0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Відсоткове вираження по відношенню від сукупного доходу особи за результатами звітного року</w:t>
            </w:r>
          </w:p>
        </w:tc>
      </w:tr>
      <w:tr w14:paraId="3B7EFD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EFA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98E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6FC2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r>
      <w:tr w14:paraId="7BCE2A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6DBB69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43.22 - Монтаж водопровiдних мереж,систем опалення та кондицiонування</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5A7B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76505</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01FD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96,69</w:t>
            </w:r>
          </w:p>
        </w:tc>
      </w:tr>
      <w:tr w14:paraId="04E069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3725EE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46.14 - Дiяльнiсть посередникiв у торгiвлi машинами, промисловим устаткуванням, суднами i лiтаками</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443F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914</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091A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w:t>
            </w:r>
          </w:p>
        </w:tc>
      </w:tr>
      <w:tr w14:paraId="54288C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0DD181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68.20 - Надання в оренду й експлуатацiю власного чи орендованого нерухомого майна</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D7A9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1702</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CA27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w:t>
            </w:r>
          </w:p>
        </w:tc>
      </w:tr>
    </w:tbl>
    <w:p w14:paraId="4ACD36C5">
      <w:pPr>
        <w:spacing w:beforeLines="0" w:afterLines="0"/>
        <w:jc w:val="left"/>
        <w:rPr>
          <w:rFonts w:hint="default" w:ascii="Times New Roman CYR" w:hAnsi="Times New Roman CYR" w:eastAsia="Times New Roman CYR"/>
          <w:sz w:val="22"/>
          <w:szCs w:val="24"/>
        </w:rPr>
      </w:pPr>
    </w:p>
    <w:p w14:paraId="55DAB33C">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5F5B7B0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Фiнансова звiтнiсть Товариства є фiнансовою звiтнiстю загального призначення, яка сформована з метою достовiрно подання фiнансового стану, фiнансових результатiв дiяльностi та грошових потокiв Товариства для задоволення iнформацiйних потреб широкого кола користувачiв при прийняттi ними економiчних рiшень. Концептуальною основою фiнансової звiтностi Товариства за рiк, що закiнчився 31 грудня 2021 року, є Нацiональнi положення (стандарти) бухгалтерського облiку (НП(С)БО). Пiдготовлена Товариством фiнансова звiтнiсть чiтко та без будь-яких застережень вiдповiдає всiм вимогам чинних НП(С)БО з врахуванням змiн, дотримання яких забезпечує достовiрне подання iнформацiї в фiнансовiй звiтностi, а саме, доречної, достовiрної, зiставної та зрозумiлої iнформацiї. Фiнансова звiтнiсть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w:t>
      </w:r>
    </w:p>
    <w:p w14:paraId="1F883DF6">
      <w:pPr>
        <w:spacing w:beforeLines="0" w:afterLines="0"/>
        <w:jc w:val="left"/>
        <w:rPr>
          <w:rFonts w:hint="default" w:ascii="Times New Roman CYR" w:hAnsi="Times New Roman CYR" w:eastAsia="Times New Roman CYR"/>
          <w:sz w:val="24"/>
          <w:szCs w:val="24"/>
        </w:rPr>
      </w:pPr>
    </w:p>
    <w:p w14:paraId="7104DF8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0195C8C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1D9564E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6B91B8A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Звернення до акцiонерiв та iнших стейкхолдерiв вiд голови ради не було.</w:t>
      </w:r>
    </w:p>
    <w:p w14:paraId="570C262F">
      <w:pPr>
        <w:spacing w:beforeLines="0" w:afterLines="0"/>
        <w:rPr>
          <w:rFonts w:hint="default" w:ascii="Times New Roman CYR" w:hAnsi="Times New Roman CYR" w:eastAsia="Times New Roman CYR"/>
          <w:sz w:val="24"/>
          <w:szCs w:val="24"/>
        </w:rPr>
      </w:pPr>
    </w:p>
    <w:p w14:paraId="406AAA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76FF25B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Шановнi акцiонери ПрАТ "Київспецмонтаж"! Представляю до Вашої уваги звiт про результати виробничої дiяльностi Товариства у 2021 роцi.</w:t>
      </w:r>
    </w:p>
    <w:p w14:paraId="2D593FC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 звiтному перiодi обов'язки мiж посадовими особами адмiнiстрацiї розподiлялись наступним чином:</w:t>
      </w:r>
    </w:p>
    <w:p w14:paraId="4D1E2BB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Директор - вiдповiдальний за фiнансово - господарську дiяльнiсть в цiлому, органiзацiю виробництва, впровадження нової технiки i технологiї, контроль роботи дiльниць, виконання договiрних зобов'язань.</w:t>
      </w:r>
    </w:p>
    <w:p w14:paraId="1E6D8EE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Заступник директора-начальник ВТВ- проведення iнженерної пiдготовки, забезпечення виробничих програм, оперативне управлiння виконанням графiкiв виробництва та своєчасної здачi об'єктiв в експлуатацiю.</w:t>
      </w:r>
    </w:p>
    <w:p w14:paraId="45562B5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КДВ - кошторисно - договiрна робота.</w:t>
      </w:r>
    </w:p>
    <w:p w14:paraId="286FED4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Головний бухгалтер - бухгалтерський облiк та звiтнiсть.</w:t>
      </w:r>
    </w:p>
    <w:p w14:paraId="45C8893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ПЕВ, заступник начальника ПЕВ - планування, аналiз основних економiчних показникiв Товариства, планування та обрахунок заробiтної плати, виходячи iз обсягiв виконаних робiт.</w:t>
      </w:r>
    </w:p>
    <w:p w14:paraId="6C7B16C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Юрисконсульт - претензiйна робота, робота  з дебiторською заборгованiстю.</w:t>
      </w:r>
    </w:p>
    <w:p w14:paraId="14A2B2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Провiдний iнженер з охорони працi - за заходи з охорони працi та дотримання законодавства з питань охорони працi.</w:t>
      </w:r>
    </w:p>
    <w:p w14:paraId="6D18948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вiддiлу кадрiв -за рацiональне використання трудових ресурсiв, забезпечення соцiальних гарантiй, передбачених трудовим договором.</w:t>
      </w:r>
    </w:p>
    <w:p w14:paraId="1330AA2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Насамперед поiнформую шановних акцiонерiв Товариства про виконання показникiв бюджету (плану економiчно-виробничих показникiв на 2021рiк), який ми з Вами приймали на Зборах акцiонерiв 25 травня 2021 року. </w:t>
      </w:r>
    </w:p>
    <w:p w14:paraId="69703F7F">
      <w:pPr>
        <w:spacing w:beforeLines="0" w:afterLines="0"/>
        <w:rPr>
          <w:rFonts w:hint="default" w:ascii="Times New Roman CYR" w:hAnsi="Times New Roman CYR" w:eastAsia="Times New Roman CYR"/>
          <w:sz w:val="24"/>
          <w:szCs w:val="24"/>
        </w:rPr>
      </w:pPr>
    </w:p>
    <w:p w14:paraId="79E61EF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2AB1D34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Згiдно Бюджету на 2021 рiк в цiлому, по Товариству планувалися до виконання власними силами наступнi показники: </w:t>
      </w:r>
    </w:p>
    <w:p w14:paraId="4707D7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Обсяг робiт в ДЦ -112 012, 5 тис. грн., в тому числi:</w:t>
      </w:r>
    </w:p>
    <w:p w14:paraId="4F644A5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для монтажних дiльниць заплановано в ДЦ- 88 690,9 тис. грн;</w:t>
      </w:r>
    </w:p>
    <w:p w14:paraId="1E84639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для ВКД- 23 321,6 тис. грн;</w:t>
      </w:r>
    </w:p>
    <w:p w14:paraId="3D90269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При цьому, в запланованiй договiрнiй цiнi обсяги будiвельно-монтажних робiт планували на рiвнi-93 148,0 тис. грн., в тому числi:</w:t>
      </w:r>
    </w:p>
    <w:p w14:paraId="413C3AD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для монтажних дiльниць обсяги БМР запланованi в сумi 69 826,4 тис. грн.;</w:t>
      </w:r>
    </w:p>
    <w:p w14:paraId="0D751EB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для ВКД- 23 321,6 тис. грн.</w:t>
      </w:r>
    </w:p>
    <w:p w14:paraId="7946559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Крiм того, за результатами виробничої дiяльностi планувалося отримати -10 197,2 тис. грн прибутку,  при рiвнi рентабельностi виробництва-12,3%, iз них:</w:t>
      </w:r>
    </w:p>
    <w:p w14:paraId="41A40CE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для монтажних дiльниць - 8 122,0 тис. грн прибутку iз дохiднiстю виробництва на рiвнi -13,2%;</w:t>
      </w:r>
    </w:p>
    <w:p w14:paraId="3185E95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для ВКД- 2 075,2 тис. грн прибутку iз рiвнем дохiдностi(прибутковостi) -9,8%; .</w:t>
      </w:r>
    </w:p>
    <w:p w14:paraId="23889879">
      <w:pPr>
        <w:spacing w:beforeLines="0" w:afterLines="0"/>
        <w:rPr>
          <w:rFonts w:hint="default" w:ascii="Times New Roman CYR" w:hAnsi="Times New Roman CYR" w:eastAsia="Times New Roman CYR"/>
          <w:sz w:val="24"/>
          <w:szCs w:val="24"/>
        </w:rPr>
      </w:pPr>
    </w:p>
    <w:p w14:paraId="223F3B4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 пiдсумками роботи у 2021 роцi за даними бухгалтерського облiку виконано власними силами в цiлому по Товариству:</w:t>
      </w:r>
    </w:p>
    <w:p w14:paraId="22BF5CA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в ДЦ-125 823,7 тис.грн,  що складає 112,3% до рiвня запланованого показника бюджету та 175,8% до рiвня виконання у 2020р. ( данi 2020р-ДЦ-71 590 тис. грн). Перевиконання запланованого показника бюджету у грошовому еквiвалентi складає-13 811,20 тис. грн ;</w:t>
      </w:r>
    </w:p>
    <w:p w14:paraId="637BF78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обсяги БМР були виконанi на рiвнi-99 133,3 тис грн ( що складає 106,4% до рiвня запланованого показника) та 158,7% до аналогiчного показника 2020 року. Запланований по бюджету показник БМР перевиконаний у грошовому вираженнi на 5 985,3 тис. грн ;</w:t>
      </w:r>
    </w:p>
    <w:p w14:paraId="7D03824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вiд виробничої дiяльностi монтажних дiльниць та виробничо-комплектувальної дiльницi отримали -11 923,8 тис. грн., прибутку, що на 16,9% (або 1 726,6 тис. грн) бiльше, нiж планувалося. При цьому, рентабельнiсть виробництва склала-13,67%, що на 11.14% вище запланованого рiвня. ( за аналогiчний перiод 2020р. отримали прибутку- 7 872,5 тис грн., при рiвнi рентабельностi- 14,42%). Рентабельнiсть виробництва по вiдношенню до 2020 року знизилася на 5,2% i спричинена насамперед зниженням ефективностi виробничої дiяльностi вентиляцiйного ( рентабельнiсть виробництва за 2021р. склала-6,23%) та складального (рентабельнiсть виробництва за 2021р. склала-8,61% ) цехiв. Натомiсть, рентабельнiсть виробничої дiяльностi монтажних дiльниць зросла на 9,25% по вiдношенню до аналогiчного показника у 2020 роцi та за даними облiку склала-16.06%</w:t>
      </w:r>
    </w:p>
    <w:p w14:paraId="73500D0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робiтниками монтажних дiльниць та ВКД вiдпрацьовано -11486 людино-днiв, що на 1118 людино-днiв менше, нiж планувалося. Виходячи iз рiчної норми тривалостi робочого часу при п'ятиденному робочому тижнi 250 робочих днiв -це 4,5 людини, якi були вiдсутнi протягом року. Кожен вiдпрацьований у 2021роцi робiтниками людино-день приносив Товариству 1038,12 грн прибутку, що на 30,7% вище, нiж в аналогiчному перiодi 2020 року-(794,32 грн прибутку/людино-день). Заробiтна плата робiтника в розрахунку на вiдпрацьований людино-день зросла на 23,2% або до 904,14 грн по вiдношенню до аналогiчного показника 2020 року ( 733,93 грн/люд-день), проте склала 97,72% до запланованого показника в бюджетi ( 925,22 грн /люд-день).</w:t>
      </w:r>
    </w:p>
    <w:p w14:paraId="57443288">
      <w:pPr>
        <w:spacing w:beforeLines="0" w:afterLines="0"/>
        <w:rPr>
          <w:rFonts w:hint="default" w:ascii="Times New Roman CYR" w:hAnsi="Times New Roman CYR" w:eastAsia="Times New Roman CYR"/>
          <w:sz w:val="24"/>
          <w:szCs w:val="24"/>
        </w:rPr>
      </w:pPr>
    </w:p>
    <w:p w14:paraId="656B4C6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5A54A7D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Деривативнi контракти не укладалися. Правочинiв щодо деривативних цiннних паперiв не було.</w:t>
      </w:r>
    </w:p>
    <w:p w14:paraId="315FAF1D">
      <w:pPr>
        <w:spacing w:beforeLines="0" w:afterLines="0"/>
        <w:rPr>
          <w:rFonts w:hint="default" w:ascii="Times New Roman CYR" w:hAnsi="Times New Roman CYR" w:eastAsia="Times New Roman CYR"/>
          <w:sz w:val="24"/>
          <w:szCs w:val="24"/>
        </w:rPr>
      </w:pPr>
    </w:p>
    <w:p w14:paraId="47B6CF5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6FDF2AB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процесi господарської дiяльностi Товариство зазнає впливу фiнансових ризикiв, зокрема цiнового, кредитного ризику та ризику лiквiдностi грошових потокiв. Полiтика управлiння ризиками спрямована на їх своєчасне виявлення, оцiнку та мiнiмiзацiю можливого негативного впливу на фiнансовий стан пiдприємства.</w:t>
      </w:r>
    </w:p>
    <w:p w14:paraId="7B760C17">
      <w:pPr>
        <w:spacing w:beforeLines="0" w:afterLines="0"/>
        <w:rPr>
          <w:rFonts w:hint="default" w:ascii="Times New Roman CYR" w:hAnsi="Times New Roman CYR" w:eastAsia="Times New Roman CYR"/>
          <w:sz w:val="24"/>
          <w:szCs w:val="24"/>
        </w:rPr>
      </w:pPr>
    </w:p>
    <w:p w14:paraId="55A1B4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41C51D1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Цiновий ризик пов'язаний зi змiнами ринкових цiн на матерiали. Товариство здiйснює монiторинг ринкової ситуацiї та, за можливостi, враховує вiдповiднi змiни при формуваннi договiрних умов. Схильнiсть до цiнового ризику оцiнюється як помiрна.</w:t>
      </w:r>
    </w:p>
    <w:p w14:paraId="2C3D5EB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Кредитний ризик виникає у зв'язку з iмовiрнiстю невиконання контрагентами своїх зобов'язань. З метою його зниження здiйснюється контроль за станом дебiторської заборгованостi та оцiнка платоспроможностi контрагентiв. Схильнiсть до кредитного ризику є контрольованою.</w:t>
      </w:r>
    </w:p>
    <w:p w14:paraId="2EEE3BA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Ризик лiквiдностi грошових потокiв пов'язаний iз можливiстю недостатностi коштiв для своєчасного виконання зобов'язань. Управлiння ризиком здiйснюється шляхом планування грошових потокiв. Схильнiсть до ризику лiквiдностi оцiнюється як помiрна.</w:t>
      </w:r>
    </w:p>
    <w:p w14:paraId="70C91102">
      <w:pPr>
        <w:spacing w:beforeLines="0" w:afterLines="0"/>
        <w:rPr>
          <w:rFonts w:hint="default" w:ascii="Times New Roman CYR" w:hAnsi="Times New Roman CYR" w:eastAsia="Times New Roman CYR"/>
          <w:sz w:val="24"/>
          <w:szCs w:val="24"/>
        </w:rPr>
      </w:pPr>
    </w:p>
    <w:p w14:paraId="204E5473">
      <w:pPr>
        <w:spacing w:beforeLines="0" w:afterLines="0"/>
        <w:jc w:val="left"/>
        <w:rPr>
          <w:rFonts w:hint="default" w:ascii="Times New Roman CYR" w:hAnsi="Times New Roman CYR" w:eastAsia="Times New Roman CYR"/>
          <w:sz w:val="24"/>
          <w:szCs w:val="24"/>
        </w:rPr>
      </w:pPr>
    </w:p>
    <w:p w14:paraId="721EE19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2. Інформація про загальні збори акціонерів (учасників) та загальний опис прийнятих на таких зборах рішень: 1 (1)</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7000"/>
      </w:tblGrid>
      <w:tr w14:paraId="7642DD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B1386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Дата проведення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E54B7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25.05.2021</w:t>
            </w:r>
          </w:p>
        </w:tc>
      </w:tr>
      <w:tr w14:paraId="4A682A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1C8EC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Спосіб проведення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9338E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X</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очне голосування, місце проведення: 01010, м. Київ, вул. Левандовська, буд. 3-Б</w:t>
            </w:r>
          </w:p>
          <w:p w14:paraId="2DE44D0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електронне голосування</w:t>
            </w:r>
          </w:p>
          <w:p w14:paraId="580D2BE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опитування (дистанційно)</w:t>
            </w:r>
          </w:p>
        </w:tc>
      </w:tr>
      <w:tr w14:paraId="1FE4AD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CEDC8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Суб'єкт скликання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1DC0D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Наглядова рада</w:t>
            </w:r>
          </w:p>
        </w:tc>
      </w:tr>
      <w:tr w14:paraId="36B29D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B7C495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Питання порядку денного та прийняті рішення:</w:t>
            </w:r>
          </w:p>
        </w:tc>
      </w:tr>
      <w:tr w14:paraId="4774E9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BB0473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ПОРЯДОК   ДЕННИЙ:</w:t>
            </w:r>
          </w:p>
          <w:p w14:paraId="6C2FB5CC">
            <w:pPr>
              <w:spacing w:beforeLines="0" w:afterLines="0"/>
              <w:jc w:val="left"/>
              <w:rPr>
                <w:rFonts w:hint="default" w:ascii="Times New Roman CYR" w:hAnsi="Times New Roman CYR" w:eastAsia="Times New Roman CYR"/>
                <w:sz w:val="24"/>
                <w:szCs w:val="24"/>
              </w:rPr>
            </w:pPr>
          </w:p>
          <w:p w14:paraId="32C0AEE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Обрання членiв  лiчильної комiсiї Загальних зборiв.</w:t>
            </w:r>
          </w:p>
          <w:p w14:paraId="168A5E1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Звiт Виконавчого органу  за 2020 рiк та прийняття рiшення за наслiдками розгляду звiту.</w:t>
            </w:r>
          </w:p>
          <w:p w14:paraId="25A79BB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Звiт Наглядової ради  про результати фiнансово-господарської дiяльностi Товариства за 2020 рiк та прийняття рiшення за наслiдками розгляду звiту</w:t>
            </w:r>
          </w:p>
          <w:p w14:paraId="4B100DE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Звiт Ревiзора  за 2020 рiк та прийняття рiшення за наслiдками розгляду звiту, затвердження висновку ревiзора.</w:t>
            </w:r>
          </w:p>
          <w:p w14:paraId="194672B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Затвердження балансу Товариства за 2020 рiк.</w:t>
            </w:r>
          </w:p>
          <w:p w14:paraId="1D35457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6. Розподiл  прибутку та прийняття рiшення про виплату дивiдендiв. </w:t>
            </w:r>
          </w:p>
          <w:p w14:paraId="5F89FB5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7. Визначення основних напрямкiв дiяльностi ПрАТ "Київспецмонтаж" на 2021 рiк. </w:t>
            </w:r>
          </w:p>
          <w:p w14:paraId="40B9B16C">
            <w:pPr>
              <w:spacing w:beforeLines="0" w:afterLines="0"/>
              <w:jc w:val="left"/>
              <w:rPr>
                <w:rFonts w:hint="default" w:ascii="Times New Roman CYR" w:hAnsi="Times New Roman CYR" w:eastAsia="Times New Roman CYR"/>
                <w:sz w:val="24"/>
                <w:szCs w:val="24"/>
              </w:rPr>
            </w:pPr>
          </w:p>
          <w:p w14:paraId="2D0064C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Прийнятi рiшення:</w:t>
            </w:r>
          </w:p>
          <w:p w14:paraId="2143CD3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Лiчильну комiсiю обрати у складi двох осiб та внести їх у бюлетень для голосування, а саме: </w:t>
            </w:r>
          </w:p>
          <w:p w14:paraId="53749E3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Голова лiчильної комiсiї Загальних зборiв: Ремез Г.I.  Член  комiсiї: Панченко В.Г. </w:t>
            </w:r>
          </w:p>
          <w:p w14:paraId="33606B3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Затвердити звiт Виконавчого органу за 2020 рiк  та оцiнити роботу Виконавчого органу в 2020 р. задовiльно.</w:t>
            </w:r>
          </w:p>
          <w:p w14:paraId="27C4188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Затвердити звiт Наглядової ради  про результати фiнансово-господарської  дiяльностi Товариства за 2020 рiк та оцiнити роботу Наглядової ради в 2020 роцi  задовiльно.</w:t>
            </w:r>
          </w:p>
          <w:p w14:paraId="4CBB3F7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Затвердити звiт Ревiзора за 2020 рiк  та  затвердити висновок  Ревiзора.</w:t>
            </w:r>
          </w:p>
          <w:p w14:paraId="4C20743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5.  Затвердити баланс Товариства за 2020 рiк .     </w:t>
            </w:r>
          </w:p>
          <w:p w14:paraId="3E8C2A1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6. Затвердити   розподiл прибутку Товариства та рiшення про виплату дивiдендiв  за пiдсумками роботи в 2020 роцi.  </w:t>
            </w:r>
          </w:p>
          <w:p w14:paraId="2F91849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Затвердити основнi напрямки  дiяльностi ПрАТ "Київспецмонтаж"  на  2021рiк</w:t>
            </w:r>
          </w:p>
        </w:tc>
      </w:tr>
      <w:tr w14:paraId="073D89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1089B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URL-адреса протоколу загальних зборів:</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5026C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http://ksm.emitents.net.ua/ua/docs/?fg_id=102</w:t>
            </w:r>
          </w:p>
        </w:tc>
      </w:tr>
    </w:tbl>
    <w:p w14:paraId="65F77A63">
      <w:pPr>
        <w:spacing w:beforeLines="0" w:afterLines="0"/>
        <w:jc w:val="left"/>
        <w:rPr>
          <w:rFonts w:hint="default" w:ascii="Times New Roman CYR" w:hAnsi="Times New Roman CYR" w:eastAsia="Times New Roman CYR"/>
          <w:sz w:val="24"/>
          <w:szCs w:val="24"/>
        </w:rPr>
      </w:pPr>
    </w:p>
    <w:p w14:paraId="2CD92567">
      <w:pPr>
        <w:spacing w:beforeLines="0" w:afterLines="0"/>
        <w:jc w:val="left"/>
        <w:rPr>
          <w:rFonts w:hint="default" w:ascii="Times New Roman CYR" w:hAnsi="Times New Roman CYR" w:eastAsia="Times New Roman CYR"/>
          <w:sz w:val="24"/>
          <w:szCs w:val="24"/>
        </w:rPr>
      </w:pPr>
    </w:p>
    <w:p w14:paraId="364E42A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4. Рада</w:t>
      </w:r>
    </w:p>
    <w:p w14:paraId="54F7E75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Персональний склад ради та її комітетів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150"/>
        <w:gridCol w:w="1150"/>
        <w:gridCol w:w="1150"/>
        <w:gridCol w:w="1150"/>
        <w:gridCol w:w="1150"/>
        <w:gridCol w:w="1250"/>
      </w:tblGrid>
      <w:tr w14:paraId="5E7100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FD7A6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члена ради, строк повноважень у звітному періоді</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AE5C4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FB096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74469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Голова/ заступник голови ради</w:t>
            </w:r>
          </w:p>
        </w:tc>
        <w:tc>
          <w:tcPr>
            <w:tcW w:w="35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64C30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Голова / член комітету ради</w:t>
            </w:r>
          </w:p>
        </w:tc>
      </w:tr>
      <w:tr w14:paraId="542AD9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5C85908">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D71AA1C">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FCB9079">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0362F7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68E7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014A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- 2</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752A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- 3</w:t>
            </w:r>
          </w:p>
        </w:tc>
      </w:tr>
      <w:tr w14:paraId="56C17F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6B8C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  01.01.2021 - 31.12.2021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67A9AF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7B72D80">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50728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9639BCC">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941A7B7">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CEA6225">
            <w:pPr>
              <w:spacing w:beforeLines="0" w:afterLines="0"/>
              <w:jc w:val="center"/>
              <w:rPr>
                <w:rFonts w:hint="default" w:ascii="Times New Roman CYR" w:hAnsi="Times New Roman CYR" w:eastAsia="Times New Roman CYR"/>
                <w:sz w:val="22"/>
                <w:szCs w:val="24"/>
              </w:rPr>
            </w:pPr>
          </w:p>
        </w:tc>
      </w:tr>
      <w:tr w14:paraId="38AF60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85D6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Кузнєцова Мирослава Олегiвна,  01.01.2021 - 31.12.2021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D505336">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7379CA2">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D9CC16B">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EDA16CF">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AEFDB92">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5FF8DA8">
            <w:pPr>
              <w:spacing w:beforeLines="0" w:afterLines="0"/>
              <w:jc w:val="center"/>
              <w:rPr>
                <w:rFonts w:hint="default" w:ascii="Times New Roman CYR" w:hAnsi="Times New Roman CYR" w:eastAsia="Times New Roman CYR"/>
                <w:sz w:val="22"/>
                <w:szCs w:val="24"/>
              </w:rPr>
            </w:pPr>
          </w:p>
        </w:tc>
      </w:tr>
      <w:tr w14:paraId="203FB8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3EF8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Макаренко Галина Венаминiвна,  01.01.2021 - 31.12.2021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2F11FD2">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76F2A01">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11ED3FC">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BA86A52">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DEC8F24">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30E130D">
            <w:pPr>
              <w:spacing w:beforeLines="0" w:afterLines="0"/>
              <w:jc w:val="center"/>
              <w:rPr>
                <w:rFonts w:hint="default" w:ascii="Times New Roman CYR" w:hAnsi="Times New Roman CYR" w:eastAsia="Times New Roman CYR"/>
                <w:sz w:val="22"/>
                <w:szCs w:val="24"/>
              </w:rPr>
            </w:pPr>
          </w:p>
        </w:tc>
      </w:tr>
    </w:tbl>
    <w:p w14:paraId="7C351533">
      <w:pPr>
        <w:spacing w:beforeLines="0" w:afterLines="0"/>
        <w:jc w:val="left"/>
        <w:rPr>
          <w:rFonts w:hint="default" w:ascii="Times New Roman CYR" w:hAnsi="Times New Roman CYR" w:eastAsia="Times New Roman CYR"/>
          <w:sz w:val="22"/>
          <w:szCs w:val="24"/>
        </w:rPr>
      </w:pPr>
    </w:p>
    <w:p w14:paraId="025BC7A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проведені засідання ради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000"/>
        <w:gridCol w:w="8000"/>
      </w:tblGrid>
      <w:tr w14:paraId="38B632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46097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Кількість засідань ради у звітному періоді:</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643D0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21</w:t>
            </w:r>
          </w:p>
        </w:tc>
      </w:tr>
      <w:tr w14:paraId="44F976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39F93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 них очних:</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AB294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21</w:t>
            </w:r>
          </w:p>
        </w:tc>
      </w:tr>
      <w:tr w14:paraId="779094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E0356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 них заочних:</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C92BC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4B050D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CFE6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ради:</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42C4B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Вiдповiдно до чинної редакцiї Статуту Товариства, Наглядова рада Товариства є органом, що здiйснює контроль за дiяльнiстю одноосiбного виконавчого органу Товариства в iнтересах акцiонерiв у перiод мiж загальними зборами. У своїй дiяльностi Наглядова рада керується чинним законодавством, Статутом, Положенням "Про наглядову раду" та iншими внутрiшнiми положеннями Товариства. Наглядова рада пiдпорядкована зборам, рiшення яких є для неї обов'язковими. Питання, що належать до виключної компетенцiї Наглядової ради акцiонерного товариства, не можуть вирiшуватися iншими органами товариства, крiм загальних зборiв. Протягом 2021 року було проведено 21 засiдання Наглядової ради Товариства для прийняття рiшень виключно з питань, якi вiдносяться до компетенцiї Наглядової ради ПрАТ  "Київспецмонтаж". Усi засiдання Наглядової ради Товариства проводились шляхом очного голосування. Усi засiдання Наглядової ради є правомочними. Дiяльнiсть Наглядової ради не зумовила змiн у фiнансово-господарськiй дiяльностi Товариства. На засiданнях Наглядової ради: </w:t>
            </w:r>
          </w:p>
          <w:p w14:paraId="207FD052">
            <w:pPr>
              <w:spacing w:beforeLines="0" w:afterLines="0"/>
              <w:rPr>
                <w:rFonts w:hint="default" w:ascii="Times New Roman CYR" w:hAnsi="Times New Roman CYR" w:eastAsia="Times New Roman CYR"/>
                <w:sz w:val="22"/>
                <w:szCs w:val="24"/>
              </w:rPr>
            </w:pPr>
          </w:p>
          <w:p w14:paraId="7FC93AA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розглядалось виконання дiльницями та ВКД планових завдань, аналiзувалась   продуктивнiсть працi;                       </w:t>
            </w:r>
          </w:p>
          <w:p w14:paraId="1A6BD08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проводився аналiз забезпечення дiльниць та ВКД обсягами робiт та заходи по забезпеченню вiдповiдного доходу працiвникiв;</w:t>
            </w:r>
          </w:p>
          <w:p w14:paraId="0CC4899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аналiзувалася орендна плата за оренду нежитлових та житлових примiщень, якi є власнiстю Товариства;  </w:t>
            </w:r>
          </w:p>
          <w:p w14:paraId="6D20A21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розглядалися та затверджувалися додатки до Колективного договору, Положення про оплату працi, погоджувалися плани робiт;   </w:t>
            </w:r>
          </w:p>
          <w:p w14:paraId="2E2AD2F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за  iнiцiативою Голови Наглядової проводився аналiз доходiв працiвникiв,  розроблялися необхiднi заходи по забезпеченню дiльниць обсягами робiт. Зважаючи на рiвень зарплати в галузi, Наглядова рада настiйливо iнiцiювала аналiзувати проблемнi питання у сферi оплати працi та допомагала Директору вiдшукувати джерела пiдвищення зарплати (шляхом пiдвищення розцiнок вiдрядного заробiтку  на монтажi  та  виготовленнi продукцiї; пiдвищення тарифних ставок  та окладiв), вимагала використовувати iснуюче законодавство та внутрiшнi положення щодо оплати працi;   </w:t>
            </w:r>
          </w:p>
          <w:p w14:paraId="097AE62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для оперативностi вирiшення поточних питань та  забезпечення ефективностi  виробничих оперативних нарад Наглядовою радою проводяться щопонедiлка оперативнi наради з керiвниками вiддiлiв ; </w:t>
            </w:r>
          </w:p>
          <w:p w14:paraId="2423341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розглядався стан розрахункiв за виконанi роботи та можливi шляхи  погашення    заборгованостi;</w:t>
            </w:r>
          </w:p>
          <w:p w14:paraId="460262C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розглядалися заходи по вiдзначенню свят, заохоченню працiвникiв та  премiюванню;</w:t>
            </w:r>
          </w:p>
          <w:p w14:paraId="7499131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стан трудової та виконавчої дисциплiни;</w:t>
            </w:r>
          </w:p>
          <w:p w14:paraId="072A1F5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розглядалися заяви та звернення  працiвникiв Товариства, в тому числi  про  надання безпроцентних позик, згiдно "Положення про надання пiльгових споживчих кредитiв та безпроцентних позик працiвникам ПрАТ "Київспецмонтаж", матерiальної допомоги,  оплати лiкування та надання в оренду  житла, яке є власнiстю ПрАТ "Київспецмонтаж"  вiдповiдно до умов Колективного договору.</w:t>
            </w:r>
          </w:p>
          <w:p w14:paraId="2C5E330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Наглядова рада iнiцiювала та проводила контроль виконання ремонтних робiт об'єктiв, якi є власнiстю ПрАТ "Київспецмонтаж";</w:t>
            </w:r>
          </w:p>
          <w:p w14:paraId="371C444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аналiзувалося виконання Наказу №21, "Положення про оплату працi", "Колективного договору"  (i iншi). </w:t>
            </w:r>
          </w:p>
          <w:p w14:paraId="031DAD3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приймалися рiшення щодо забезпечення виконання законодавства України.</w:t>
            </w:r>
          </w:p>
          <w:p w14:paraId="1D4E270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розроблено заходи по проведенню даних  Загальних зборiв акцiонерiв Товариства.</w:t>
            </w:r>
          </w:p>
          <w:p w14:paraId="7672F54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На всi питання давалися своєчаснi та вичерпнi вiдповiдi. </w:t>
            </w:r>
          </w:p>
        </w:tc>
      </w:tr>
    </w:tbl>
    <w:p w14:paraId="15FB5F32">
      <w:pPr>
        <w:spacing w:beforeLines="0" w:afterLines="0"/>
        <w:jc w:val="left"/>
        <w:rPr>
          <w:rFonts w:hint="default" w:ascii="Times New Roman CYR" w:hAnsi="Times New Roman CYR" w:eastAsia="Times New Roman CYR"/>
          <w:sz w:val="22"/>
          <w:szCs w:val="24"/>
        </w:rPr>
      </w:pPr>
    </w:p>
    <w:p w14:paraId="1095698B">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ради</w:t>
      </w:r>
    </w:p>
    <w:p w14:paraId="56CEAE6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Наглядова рада ПРИВАТНОГО АКЦIОНЕРНОГО ТОВАРИСТВА "КИЇВСПЕЦМОНТАЖ"" (далi - Наглядова рада) є колегiальним органом. Вiдповiдно до чинної редакцiї Статуту Товариства, Наглядова рада Товариства є органом, що здiйснює контроль за дiяльнiстю одноосiбного виконавчого органу Товариства в iнтересах акцiонерiв у перiод мiж загальними зборами. У своїй дiяльностi Наглядова рада керується чинним законодавством, Статутом, Положенням "Про наглядову раду" та iншими внутрiшнiми положеннями Товариства. Наглядова рада пiдпорядкована зборам, рiшення яких є для неї обов'язковими. Питання, що належать до виключної компетенцiї Наглядової ради акцiонерного товариства, не можуть вирiшуватися iншими органами товариства, крiм загальних зборiв. Протягом 2021 року було проведено 21 засiдання Наглядової ради Товариства для прийняття рiшень виключно з питань, якi вiдносяться до компетенцiї Наглядової ради ПрАТ  "КИЇВСПЕЦМОНТАЖ". Усi засiдання Наглядової ради Товариства проводились шляхом очного голосування. Усi засiдання Наглядової ради є правомочними. </w:t>
      </w:r>
    </w:p>
    <w:p w14:paraId="5D4B62D7">
      <w:pPr>
        <w:spacing w:beforeLines="0" w:afterLines="0"/>
        <w:rPr>
          <w:rFonts w:hint="default" w:ascii="Times New Roman CYR" w:hAnsi="Times New Roman CYR" w:eastAsia="Times New Roman CYR"/>
          <w:sz w:val="24"/>
          <w:szCs w:val="24"/>
        </w:rPr>
      </w:pPr>
    </w:p>
    <w:p w14:paraId="1A8DAB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оцiнка складу, структури та дiяльностi ради як колегiального органу (колективної придатностi ради) Голова наглядової ради та 2 члени наглядової ради працювали у 2021 роцi задовiльно;</w:t>
      </w:r>
    </w:p>
    <w:p w14:paraId="262C111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Наглядова рада виконує поставленi цiлi в рамках повноважень, визначених Статутом та внутрiшнiми документами. Наглядова рада враховує/захищає права акцiонерiв Товариства при прийняттi управлiнських рiшень. Наглядова рада працює як колегiальний орган, рiшення приймаються простою бiльшiстю голосiв членiв Наглядової ради вiд їх загальної кiлькостi, якi мають право голосу, кожний член Наглядової ради при голосуваннi має один голос. Спецiальнi знання та досвiд членiв Наглядової ради давали змогу спiльно професiйно обговорювати питання, щодо яких приймаються рiшення, дискутувати, моделювати потенцiйнi сценарiї розвитку тих чи iнших бiзнес-ситуацiй тощо. При формуваннi складу Наглядової ради були врахованi наступнi фактори: - належнiсть професiйних та особистих навичок кандидата на посаду члена Наглядової ради для ефективного виконання функцiональних обов'язкiв члена Наглядової ради з урахуванням основних напрямiв дiяльностi та стратегiї розвитку Товариства. Голова та члени Наглядової ради здiйснювали свої повноваження на безоплатнiй основi. </w:t>
      </w:r>
    </w:p>
    <w:p w14:paraId="4456679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3EA65AF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Голова Наглядової ради має професiйний досвiд, знання та компетенцiю, необхiднi для ефективної роботи у складi Наглядової ради, вiдповiдає професiйним вимогам до члена Наглядової ради, встановленим законодавством України.  Голова Наглядової ради органiзовує її роботу, скликає засiдання Наглядової ради та головує на них, здiйснює iншi повноваження, передбаченi Статутом та Положенням про Наглядову раду. </w:t>
      </w:r>
    </w:p>
    <w:p w14:paraId="44F79FB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Секретар Наглядової ради має професiйний досвiд, знання та компетенцiю, необхiднi для ефективної роботи у складi Наглядової ради, вiдповiдає професiйним вимогам до члена Наглядової ради, встановленим законодавством України.  </w:t>
      </w:r>
    </w:p>
    <w:p w14:paraId="6FDC51A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Член Наглядової ради має професiйний досвiд, знання та компетенцiю, необхiднi для ефективної роботи у складi Наглядової ради, вiдповiдає професiйним вимогам до члена Наглядової ради, встановленим законодавством України. </w:t>
      </w:r>
    </w:p>
    <w:p w14:paraId="7FBFAEA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Протягом звiтного року кожен член Наглядової ради належним чином виконував свої обов'язки, в тому числi: - брав активну участь у засiданнях; - здiйснював перегляд наданих документiв (звiти, вiдомостi, проекти нових/оновлених внутрiшнiх документiв Товариства); - брав участь в обговореннi проблемних питань; - голосував пiд час прийняття рiшень, якi належать до компетенцiї Наглядової ради. У Товариствi вiдсутнi внутрiшнi процедури та документи, якi б регулювали питання проведення оцiнки Наглядовою радою ефективностi власної практики управлiння.</w:t>
      </w:r>
    </w:p>
    <w:p w14:paraId="64B0C00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3)оцiнка незалежностi кожного з незалежних членiв ради;</w:t>
      </w:r>
    </w:p>
    <w:p w14:paraId="578067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Впродовж 2021 року Наглядова рада здiйснювала свої повноваження у складi трьох осiб, якi не є незалежними членами Наглядової ради.  Оцiнка незалежностi кожного з незалежних членiв Наглядової ради не проводилась.</w:t>
      </w:r>
    </w:p>
    <w:p w14:paraId="0FD4E61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7B248A6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 Наглядовiй радi комiтети ради не створювалися.</w:t>
      </w:r>
    </w:p>
    <w:p w14:paraId="1BF6796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1F03CD6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В рамках проведення щорiчної оцiнки ефективностi своєї дiяльностi Наглядова рада також мала намiр оцiнити досягнення нею цiлей, поставлених на 2021 рiк. Рiчна самооцiнка Наглядової ради показала, що: </w:t>
      </w:r>
    </w:p>
    <w:p w14:paraId="7D8A12C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1)члени Наглядової ради вiдповiдали вимогам, встановленим законодавством щодо бездоганної дiлової репутацiї та професiйної придатностi, </w:t>
      </w:r>
    </w:p>
    <w:p w14:paraId="7D2489C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стан колективної придатностi Наглядової ради був достатнiм для ефективного виконання Наглядовою радою своїх функцiй. Наглядова рада протягом усього 2021 року прагнула спрямувати свою дiяльнiсть на здобуття тих результатiв, якi наближали б Товариство до повного та своєчасного виконання основних напрямiв його дiяльностi, визначених вищим органом Товариства на 2021 рiк. Рiчна самооцiнка Наглядової ради показала, що стан ефективностi роботи Наглядової ради у 2021 роцi був задовiльним. Встановленi рiчними Загальними зборами Товариства цiлi на 2021рiк досягаються Наглядовою радою шляхом прийняття вiдповiдних рiшень та контролем за їх виконанням.</w:t>
      </w:r>
    </w:p>
    <w:p w14:paraId="2C1BFA23">
      <w:pPr>
        <w:spacing w:beforeLines="0" w:afterLines="0"/>
        <w:rPr>
          <w:rFonts w:hint="default" w:ascii="Times New Roman CYR" w:hAnsi="Times New Roman CYR" w:eastAsia="Times New Roman CYR"/>
          <w:sz w:val="24"/>
          <w:szCs w:val="24"/>
        </w:rPr>
      </w:pPr>
    </w:p>
    <w:p w14:paraId="5C788F3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На засiданнях Наглядової ради: </w:t>
      </w:r>
    </w:p>
    <w:p w14:paraId="2461F122">
      <w:pPr>
        <w:spacing w:beforeLines="0" w:afterLines="0"/>
        <w:rPr>
          <w:rFonts w:hint="default" w:ascii="Times New Roman CYR" w:hAnsi="Times New Roman CYR" w:eastAsia="Times New Roman CYR"/>
          <w:sz w:val="24"/>
          <w:szCs w:val="24"/>
        </w:rPr>
      </w:pPr>
    </w:p>
    <w:p w14:paraId="13A312E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розглядалось виконання дiльницями та ВКД планових завдань, аналiзувалась   продуктивнiсть працi;                       </w:t>
      </w:r>
    </w:p>
    <w:p w14:paraId="77AE988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проводився аналiз забезпечення дiльниць та ВКД обсягами робiт та заходи по забезпеченню вiдповiдного доходу працiвникiв;</w:t>
      </w:r>
    </w:p>
    <w:p w14:paraId="5F17457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аналiзувалася орендна плата за оренду нежитлових та житлових примiщень, якi є власнiстю Товариства;  </w:t>
      </w:r>
    </w:p>
    <w:p w14:paraId="1C716B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розглядалися та затверджувалися додатки до Колективного договору, Положення про оплату працi, погоджувалися плани робiт;   </w:t>
      </w:r>
    </w:p>
    <w:p w14:paraId="1E9305A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за  iнiцiативою Голови Наглядової проводився аналiз доходiв працiвникiв,  розроблялися необхiднi заходи по забезпеченню дiльниць обсягами робiт. Зважаючи на рiвень зарплати в галузi, Наглядова рада настiйливо iнiцiювала аналiзувати проблемнi питання у сферi оплати працi та допомагала Директору вiдшукувати джерела пiдвищення зарплати (шляхом пiдвищення розцiнок вiдрядного заробiтку  на монтажi  та  виготовленнi продукцiї; пiдвищення тарифних ставок  та окладiв), вимагала використовувати чинне законодавство та внутрiшнi положення щодо оплати працi;   </w:t>
      </w:r>
    </w:p>
    <w:p w14:paraId="5B65531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для оперативностi вирiшення поточних питань та  забезпечення ефективностi  виробничих оперативних нарад Наглядовою радою проводяться щопонедiлка оперативнi наради з керiвниками вiддiлiв ; </w:t>
      </w:r>
    </w:p>
    <w:p w14:paraId="528F3AF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розглядався стан розрахункiв за виконанi роботи та можливi шляхи  погашення    заборгованостi;</w:t>
      </w:r>
    </w:p>
    <w:p w14:paraId="0BA1908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розглядалися заходи по вiдзначенню свят, заохоченню працiвникiв та  премiюванню;</w:t>
      </w:r>
    </w:p>
    <w:p w14:paraId="6B91B0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стан трудової та виконавчої дисциплiни;</w:t>
      </w:r>
    </w:p>
    <w:p w14:paraId="7F445F5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розглядалися заяви та звернення  працiвникiв Товариства, в тому числi  про  надання безпроцентних позик, згiдно "Положення про надання пiльгових споживчих кредитiв та безпроцентних позик працiвникам ПрАТ "Київспецмонтаж", матерiальної допомоги,  оплати лiкування та надання в оренду  житла, яке є власнiстю ПрАТ "Київспецмонтаж"  вiдповiдно до умов Колективного договору.</w:t>
      </w:r>
    </w:p>
    <w:p w14:paraId="30D3B3B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Наглядова рада iнiцiювала та проводила контроль виконання ремонтних робiт об'єктiв, якi є власнiстю ПрАТ "Київспецмонтаж";</w:t>
      </w:r>
    </w:p>
    <w:p w14:paraId="127C52B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аналiзувалося виконання Наказу №21, "Положення про оплату працi", "Колективного договору"  (i iншi). </w:t>
      </w:r>
    </w:p>
    <w:p w14:paraId="4911D11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приймалися рiшення щодо забезпечення виконання законодавства України.</w:t>
      </w:r>
    </w:p>
    <w:p w14:paraId="0E2D74A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розроблено заходи по проведенню Загальних зборiв акцiонерiв Товариства.</w:t>
      </w:r>
    </w:p>
    <w:p w14:paraId="3FBF2E5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На всi питання давалися своєчаснi та вичерпнi вiдповiдi. </w:t>
      </w:r>
    </w:p>
    <w:p w14:paraId="32F79C2F">
      <w:pPr>
        <w:spacing w:beforeLines="0" w:afterLines="0"/>
        <w:rPr>
          <w:rFonts w:hint="default" w:ascii="Times New Roman CYR" w:hAnsi="Times New Roman CYR" w:eastAsia="Times New Roman CYR"/>
          <w:sz w:val="24"/>
          <w:szCs w:val="24"/>
        </w:rPr>
      </w:pPr>
    </w:p>
    <w:p w14:paraId="121D0AB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609350C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 складу Наглядової ради входять Голова Наглядової ради, Секретар Наглядової ради та член Наглядової ради</w:t>
      </w:r>
    </w:p>
    <w:p w14:paraId="452ABEA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Скликання засiдання Наглядової ради може скликати Голова Наглядової ради, </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Член Наглядової ради (за iнiцiативою частини ради), Виконавчий орган (правлiння, директор), Акцiонери (якщо це передбачено статутом)</w:t>
      </w:r>
    </w:p>
    <w:p w14:paraId="16EB65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Повiдомлення надсилається членам Наглядової ради не пiзнiше нiж за 3-10 днiв до засiдання i має мiстити: дату, час, мiсце проведення, порядок денний, iнформацiйнi матерiали до розгляду.</w:t>
      </w:r>
    </w:p>
    <w:p w14:paraId="0B12DE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Проведення засiдання: Кворум: Засiдання правомочне, якщо на ньому присутнi не менше половини членiв ради (якщо iнше не передбачено статутом)</w:t>
      </w:r>
    </w:p>
    <w:p w14:paraId="2825F9B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Форма участi: Особиста участь, Вiдеоконференцiя / онлайн-участь, Заочне голосування (опитування).</w:t>
      </w:r>
    </w:p>
    <w:p w14:paraId="14EC655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Розгляд питань i голосування</w:t>
      </w:r>
    </w:p>
    <w:p w14:paraId="0CE583A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Обговорення: Кожне питання обговорюється згiдно з порядком денним. Члени ради мають право ставити запитання, надавати альтернативнi пропозицiї</w:t>
      </w:r>
    </w:p>
    <w:p w14:paraId="5FC5578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Прийняття рiшень: Рiшення ухвалюється простою бiльшiстю голосiв присутнiх на засiданнi членiв ради. У разi рiвного розподiлу голосiв вирiшальний голос має Голова ради (якщо це визначено статутом)</w:t>
      </w:r>
    </w:p>
    <w:p w14:paraId="0D8B702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Формат рiшення: Чiтко сформульоване рiшення: що саме схвалюється, у яких межах, хто вiдповiдальний за виконання</w:t>
      </w:r>
    </w:p>
    <w:p w14:paraId="0A85DA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Вказується результат голосування поiменно.</w:t>
      </w:r>
    </w:p>
    <w:p w14:paraId="28C9ED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Документування</w:t>
      </w:r>
    </w:p>
    <w:p w14:paraId="475D3E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Протокол засiдання оформлюється секретарем або уповноваженим членом ради i мiстить: дату, час, мiсце проведення, перелiк присутнiх, порядок денний, основнi питання для обговорення, результати голосування по кожному питанню, прийнятi рiшення. Пiдписується Головою ради, Секретарем або всiма присутнiми членами (залежно вiд внутрiшнiх положень).</w:t>
      </w:r>
    </w:p>
    <w:p w14:paraId="487B6BC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Впровадження рiшення</w:t>
      </w:r>
    </w:p>
    <w:p w14:paraId="630BBE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Протокол або витяг передається виконавчому органу (директору) для реалiзацiї.</w:t>
      </w:r>
    </w:p>
    <w:p w14:paraId="713F21D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Контроль за виконанням може здiйснювати: Голова ради, призначений член ради.</w:t>
      </w:r>
    </w:p>
    <w:p w14:paraId="0E91D93E">
      <w:pPr>
        <w:spacing w:beforeLines="0" w:afterLines="0"/>
        <w:rPr>
          <w:rFonts w:hint="default" w:ascii="Times New Roman CYR" w:hAnsi="Times New Roman CYR" w:eastAsia="Times New Roman CYR"/>
          <w:sz w:val="24"/>
          <w:szCs w:val="24"/>
        </w:rPr>
      </w:pPr>
    </w:p>
    <w:p w14:paraId="18ACAB5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Дiяльнiсть Наглядової ради не зумовила змiн у фiнансово-господарськiй дiяльностi Товариства. </w:t>
      </w:r>
    </w:p>
    <w:p w14:paraId="6190F300">
      <w:pPr>
        <w:spacing w:beforeLines="0" w:afterLines="0"/>
        <w:jc w:val="left"/>
        <w:rPr>
          <w:rFonts w:hint="default" w:ascii="Times New Roman CYR" w:hAnsi="Times New Roman CYR" w:eastAsia="Times New Roman CYR"/>
          <w:sz w:val="24"/>
          <w:szCs w:val="24"/>
        </w:rPr>
      </w:pPr>
    </w:p>
    <w:p w14:paraId="6A3ED67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34E9B3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5A5B1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743CA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Грозний Юрiй Володимирович, 01.01.2021-31.12.2021</w:t>
            </w:r>
          </w:p>
        </w:tc>
      </w:tr>
      <w:tr w14:paraId="2BA02C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DD62F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A8BEFC">
            <w:pPr>
              <w:spacing w:beforeLines="0" w:afterLines="0"/>
              <w:jc w:val="left"/>
              <w:rPr>
                <w:rFonts w:hint="default" w:ascii="Times New Roman CYR" w:hAnsi="Times New Roman CYR" w:eastAsia="Times New Roman CYR"/>
                <w:sz w:val="24"/>
                <w:szCs w:val="24"/>
              </w:rPr>
            </w:pPr>
          </w:p>
        </w:tc>
      </w:tr>
      <w:tr w14:paraId="7AF756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55A28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9FC042">
            <w:pPr>
              <w:spacing w:beforeLines="0" w:afterLines="0"/>
              <w:jc w:val="left"/>
              <w:rPr>
                <w:rFonts w:hint="default" w:ascii="Times New Roman CYR" w:hAnsi="Times New Roman CYR" w:eastAsia="Times New Roman CYR"/>
                <w:sz w:val="24"/>
                <w:szCs w:val="24"/>
              </w:rPr>
            </w:pPr>
          </w:p>
        </w:tc>
      </w:tr>
      <w:tr w14:paraId="59BCDD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83AE9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308DC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Ключовi рiшення Директора  товариства  - це стратегiчнi та оперативнi заходи, що забезпечують стабiльнiсть, розвиток та прибутковiсть товариства. Вони включають управлiння фiнансово-господарською дiяльнiстю, затвердження бюджетiв, кадровi змiни, iнвестицiйнi проєкти та заходи з безпеки. </w:t>
            </w:r>
          </w:p>
          <w:p w14:paraId="57B8A73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Стратегiчнi та фiнансовi рiшення:</w:t>
            </w:r>
          </w:p>
          <w:p w14:paraId="27037AB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Заходи, запланованi на звiтний рiк для забезпечення стабiльного функцiонування товариства.</w:t>
            </w:r>
          </w:p>
          <w:p w14:paraId="33BE7E2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Затвердження заходiв з управлiння лiквiднiстю та зобов'язаннями.</w:t>
            </w:r>
          </w:p>
          <w:p w14:paraId="526F62F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Управлiння активами та ризиками, фiнансове планування та бюджетування.</w:t>
            </w:r>
          </w:p>
          <w:p w14:paraId="108EF6B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Кадровi та соцiальнi рiшення:</w:t>
            </w:r>
          </w:p>
          <w:p w14:paraId="08BFF76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Призначення або звiльнення працiвникiв та ключових менеджерiв.</w:t>
            </w:r>
          </w:p>
          <w:p w14:paraId="13C99EB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пов'язанi з оплатою працi та соцiальним забезпеченням працiвникiв товариства.</w:t>
            </w:r>
          </w:p>
          <w:p w14:paraId="541C64B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Корпоративнi рiшення:</w:t>
            </w:r>
          </w:p>
          <w:p w14:paraId="5E287D7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Забезпечення виконання рiшень Наглядової ради.та загальних зборiв акцiонерiв</w:t>
            </w:r>
          </w:p>
        </w:tc>
      </w:tr>
      <w:tr w14:paraId="31BA6A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F8625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2075D9">
            <w:pPr>
              <w:spacing w:beforeLines="0" w:afterLines="0"/>
              <w:jc w:val="left"/>
              <w:rPr>
                <w:rFonts w:hint="default" w:ascii="Times New Roman CYR" w:hAnsi="Times New Roman CYR" w:eastAsia="Times New Roman CYR"/>
                <w:sz w:val="24"/>
                <w:szCs w:val="24"/>
              </w:rPr>
            </w:pPr>
          </w:p>
        </w:tc>
      </w:tr>
      <w:tr w14:paraId="1D434E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EB286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BD6662">
            <w:pPr>
              <w:spacing w:beforeLines="0" w:afterLines="0"/>
              <w:jc w:val="left"/>
              <w:rPr>
                <w:rFonts w:hint="default" w:ascii="Times New Roman CYR" w:hAnsi="Times New Roman CYR" w:eastAsia="Times New Roman CYR"/>
                <w:sz w:val="24"/>
                <w:szCs w:val="24"/>
              </w:rPr>
            </w:pPr>
          </w:p>
        </w:tc>
      </w:tr>
      <w:tr w14:paraId="0C17BC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FCD24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670B52">
            <w:pPr>
              <w:spacing w:beforeLines="0" w:afterLines="0"/>
              <w:jc w:val="left"/>
              <w:rPr>
                <w:rFonts w:hint="default" w:ascii="Times New Roman CYR" w:hAnsi="Times New Roman CYR" w:eastAsia="Times New Roman CYR"/>
                <w:sz w:val="24"/>
                <w:szCs w:val="24"/>
              </w:rPr>
            </w:pPr>
          </w:p>
        </w:tc>
      </w:tr>
      <w:tr w14:paraId="6584AF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E42601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94A49D">
            <w:pPr>
              <w:spacing w:beforeLines="0" w:afterLines="0"/>
              <w:rPr>
                <w:rFonts w:hint="default" w:ascii="Times New Roman CYR" w:hAnsi="Times New Roman CYR" w:eastAsia="Times New Roman CYR"/>
                <w:sz w:val="22"/>
                <w:szCs w:val="24"/>
              </w:rPr>
            </w:pPr>
          </w:p>
        </w:tc>
      </w:tr>
      <w:tr w14:paraId="29C204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C3DFF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92F91E">
            <w:pPr>
              <w:spacing w:beforeLines="0" w:afterLines="0"/>
              <w:jc w:val="left"/>
              <w:rPr>
                <w:rFonts w:hint="default" w:ascii="Times New Roman CYR" w:hAnsi="Times New Roman CYR" w:eastAsia="Times New Roman CYR"/>
                <w:sz w:val="24"/>
                <w:szCs w:val="24"/>
              </w:rPr>
            </w:pPr>
          </w:p>
        </w:tc>
      </w:tr>
      <w:tr w14:paraId="6017F1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32DB7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75B62D">
            <w:pPr>
              <w:spacing w:beforeLines="0" w:afterLines="0"/>
              <w:jc w:val="left"/>
              <w:rPr>
                <w:rFonts w:hint="default" w:ascii="Times New Roman CYR" w:hAnsi="Times New Roman CYR" w:eastAsia="Times New Roman CYR"/>
                <w:sz w:val="24"/>
                <w:szCs w:val="24"/>
              </w:rPr>
            </w:pPr>
          </w:p>
        </w:tc>
      </w:tr>
      <w:tr w14:paraId="20395F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9BCFF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DAF945">
            <w:pPr>
              <w:spacing w:beforeLines="0" w:afterLines="0"/>
              <w:jc w:val="left"/>
              <w:rPr>
                <w:rFonts w:hint="default" w:ascii="Times New Roman CYR" w:hAnsi="Times New Roman CYR" w:eastAsia="Times New Roman CYR"/>
                <w:sz w:val="24"/>
                <w:szCs w:val="24"/>
              </w:rPr>
            </w:pPr>
          </w:p>
        </w:tc>
      </w:tr>
    </w:tbl>
    <w:p w14:paraId="4A6E925B">
      <w:pPr>
        <w:spacing w:beforeLines="0" w:afterLines="0"/>
        <w:jc w:val="left"/>
        <w:rPr>
          <w:rFonts w:hint="default" w:ascii="Times New Roman CYR" w:hAnsi="Times New Roman CYR" w:eastAsia="Times New Roman CYR"/>
          <w:sz w:val="24"/>
          <w:szCs w:val="24"/>
        </w:rPr>
      </w:pPr>
    </w:p>
    <w:p w14:paraId="0C93372A">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виконавчого органу</w:t>
      </w:r>
    </w:p>
    <w:p w14:paraId="1E5FEE6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Звiтна доповiдь директора ПрАТ "Київспецмонтаж" за результатами дiяльностi Товариства у 2021 роцi.</w:t>
      </w:r>
    </w:p>
    <w:p w14:paraId="4F04863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Шановнi акцiонери ПрАТ "Київспецмонтаж"! Представляю до Вашої уваги звiт про результати виробничої дiяльностi Товариства у 2021 роцi.</w:t>
      </w:r>
    </w:p>
    <w:p w14:paraId="70BE25A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 звiтному перiодi обов'язки мiж посадовими особами адмiнiстрацiї розподiлялись наступним чином:</w:t>
      </w:r>
    </w:p>
    <w:p w14:paraId="79D0903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Директор - вiдповiдальний за фiнансово - господарську дiяльнiсть в цiлому, органiзацiю виробництва, впровадження нової технiки i технологiї, контроль роботи дiльниць, виконання договiрних зобов'язань.</w:t>
      </w:r>
    </w:p>
    <w:p w14:paraId="5437A9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Заступник директора-начальник ВТВ- проведення iнженерної пiдготовки, забезпечення виробничих програм, оперативне управлiння виконанням графiкiв виробництва та своєчасної здачi об'єктiв в експлуатацiю.</w:t>
      </w:r>
    </w:p>
    <w:p w14:paraId="61EFEFE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КДВ - кошторисно - договiрна робота.</w:t>
      </w:r>
    </w:p>
    <w:p w14:paraId="62B934E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Головний бухгалтер - бухгалтерський облiк та звiтнiсть.</w:t>
      </w:r>
    </w:p>
    <w:p w14:paraId="2C91AAF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ПЕВ, заступник начальника ПЕВ - планування, аналiз основних економiчних показникiв Товариства, планування та обрахунок заробiтної плати, виходячи iз обсягiв виконаних робiт.</w:t>
      </w:r>
    </w:p>
    <w:p w14:paraId="0B9787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Юрисконсульт - претензiйна робота, робота  з дебiторською заборгованiстю.</w:t>
      </w:r>
    </w:p>
    <w:p w14:paraId="0F88A00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Провiдний iнженер з охорони працi - за заходи з охорони працi та дотримання законодавства з питань охорони працi.</w:t>
      </w:r>
    </w:p>
    <w:p w14:paraId="69B2D07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вiддiлу кадрiв -за рацiональне використання трудових ресурсiв, забезпечення соцiальних гарантiй, передбачених трудовим договором.</w:t>
      </w:r>
    </w:p>
    <w:p w14:paraId="5150AE16">
      <w:pPr>
        <w:spacing w:beforeLines="0" w:afterLines="0"/>
        <w:rPr>
          <w:rFonts w:hint="default" w:ascii="Times New Roman CYR" w:hAnsi="Times New Roman CYR" w:eastAsia="Times New Roman CYR"/>
          <w:sz w:val="24"/>
          <w:szCs w:val="24"/>
        </w:rPr>
      </w:pPr>
    </w:p>
    <w:p w14:paraId="0CA9388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Насамперед поiнформую шановних акцiонерiв Товариства про виконання показникiв бюджету (плану економiчно-виробничих показникiв на 2021рiк), який ми з Вами приймали на Зборах акцiонерiв 25 травня 2021 року. </w:t>
      </w:r>
    </w:p>
    <w:p w14:paraId="669855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Отже, згiдно Бюджету на 2021 рiк в цiлому, по Товариству планувалися до виконання власними силами наступнi показники: </w:t>
      </w:r>
    </w:p>
    <w:p w14:paraId="51FE89E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Обсяг робiт в ДЦ -112 012, 5 тис. грн., в тому числi:</w:t>
      </w:r>
    </w:p>
    <w:p w14:paraId="40ADA39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для монтажних дiльниць заплановано в ДЦ- 88 690,9 тис. грн;</w:t>
      </w:r>
    </w:p>
    <w:p w14:paraId="12C5D64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для ВКД- 23 321,6 тис. грн;</w:t>
      </w:r>
    </w:p>
    <w:p w14:paraId="5F43AAE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При цьому, в запланованiй договiрнiй цiнi обсяги будiвельно-монтажних робiт планували на рiвнi-93 148,0 тис. грн., в тому числi:</w:t>
      </w:r>
    </w:p>
    <w:p w14:paraId="0167F33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для монтажних дiльниць обсяги БМР запланованi в сумi 69 826,4 тис. грн.;</w:t>
      </w:r>
    </w:p>
    <w:p w14:paraId="03DDB2D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для ВКД- 23 321,6 тис. грн.</w:t>
      </w:r>
    </w:p>
    <w:p w14:paraId="3FE5E3E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Крiм того, за результатами виробничої дiяльностi планувалося отримати -10 197,2 тис. грн прибутку,  при рiвнi рентабельностi виробництва-12,3%, iз них:</w:t>
      </w:r>
    </w:p>
    <w:p w14:paraId="1057EF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для монтажних дiльниць - 8 122,0 тис. грн прибутку iз дохiднiстю виробництва на рiвнi -13,2%;</w:t>
      </w:r>
    </w:p>
    <w:p w14:paraId="49322E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для ВКД- 2 075,2 тис. грн прибутку iз рiвнем дохiдностi(прибутковостi) -9,8%; .</w:t>
      </w:r>
    </w:p>
    <w:p w14:paraId="41C0AD69">
      <w:pPr>
        <w:spacing w:beforeLines="0" w:afterLines="0"/>
        <w:rPr>
          <w:rFonts w:hint="default" w:ascii="Times New Roman CYR" w:hAnsi="Times New Roman CYR" w:eastAsia="Times New Roman CYR"/>
          <w:sz w:val="24"/>
          <w:szCs w:val="24"/>
        </w:rPr>
      </w:pPr>
    </w:p>
    <w:p w14:paraId="67DDF1E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 пiдсумками роботи у 2021 роцi за даними бухгалтерського облiку виконано власними силами в цiлому по Товариству:</w:t>
      </w:r>
    </w:p>
    <w:p w14:paraId="411A4D4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в ДЦ-125 823,7 тис.грн,  що складає 112,3% до рiвня запланованого показника бюджету та 175,8% до рiвня виконання у 2020р. ( данi 2020р-ДЦ-71 590 тис. грн). Перевиконання запланованого показника бюджету у грошовому еквiвалентi складає-13 811,20 тис. грн ;</w:t>
      </w:r>
    </w:p>
    <w:p w14:paraId="630E77F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обсяги БМР були виконанi на рiвнi-99 133,3 тис грн ( що складає 106,4% до рiвня запланованого показника) та 158,7% до аналогiчного показника 2020 року. Запланований по бюджету показник БМР перевиконаний у грошовому вираженнi на 5 985,3 тис. грн ;</w:t>
      </w:r>
    </w:p>
    <w:p w14:paraId="626390D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вiд виробничої дiяльностi монтажних дiльниць та виробничо-комплектувальної дiльницi отримали -11 923,8 тис. грн., прибутку, що на 16,9% (або 1 726,6 тис. грн) бiльше, нiж планувалося. При цьому, рентабельнiсть виробництва склала-13,67%, що на 11.14% вище запланованого рiвня. ( за аналогiчний перiод 2020р. отримали прибутку- 7 872,5 тис грн., при рiвнi рентабельностi- 14,42%). Рентабельнiсть виробництва по вiдношенню до 2020 року знизилася на 5,2% i спричинена насамперед зниженням ефективностi виробничої дiяльностi вентиляцiйного ( рентабельнiсть виробництва за 2021р. склала-6,23%) та складального (рентабельнiсть виробництва за 2021р. склала-8,61% ) цехiв. Натомiсть, рентабельнiсть виробничої дiяльностi монтажних дiльниць зросла на 9,25% по вiдношенню до аналогiчного показника у 2020 роцi та за даними облiку склала-16.06%</w:t>
      </w:r>
    </w:p>
    <w:p w14:paraId="3E25F55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робiтниками монтажних дiльниць та ВКД вiдпрацьовано -11486 людино-днiв, що на 1118 людино-днiв менше, нiж планувалося. Виходячи iз рiчної норми тривалостi робочого часу при п'ятиденному робочому тижнi 250 робочих днiв -це 4,5 людини, якi були вiдсутнi протягом року. Кожен вiдпрацьований у 2021роцi робiтниками людино-день приносив Товариству 1038,12 грн прибутку, що на 30,7% вище, нiж в аналогiчному перiодi 2020 року-(794,32 грн прибутку/людино-день). Заробiтна плата робiтника в розрахунку на вiдпрацьований людино-день зросла на 23,2% або до 904,14 грн по вiдношенню до аналогiчного показника 2020 року ( 733,93 грн/люд-день), проте склала 97,72% до запланованого показника в бюджетi ( 925,22 грн /люд-день).</w:t>
      </w:r>
    </w:p>
    <w:p w14:paraId="0F8E4D4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 зараз, детальнiше поiнформую Вас про виконання показникiв монтажними та виробничо-комплектувальною дiльницями, якi своєю виробничою дiяльнiстю впливали на виконання показникiв бюджету:</w:t>
      </w:r>
    </w:p>
    <w:p w14:paraId="0956E7BE">
      <w:pPr>
        <w:spacing w:beforeLines="0" w:afterLines="0"/>
        <w:rPr>
          <w:rFonts w:hint="default" w:ascii="Times New Roman CYR" w:hAnsi="Times New Roman CYR" w:eastAsia="Times New Roman CYR"/>
          <w:sz w:val="24"/>
          <w:szCs w:val="24"/>
        </w:rPr>
      </w:pPr>
    </w:p>
    <w:p w14:paraId="3F1F1D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-монтажними та пусконалагоджувальною дiльницями виконано власними силами обсяги робiт в ДЦ на рiвнi- 102 898,5 тис. грн, що складає 116,02% до рiвня плану у вiдноснiй величинi. Перевиконано даний показник у грошовi вираженнi на -14 207,6 тис. грн., ( 2020р.-58 542,7 тис. грн );</w:t>
      </w:r>
    </w:p>
    <w:p w14:paraId="38B5B65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у виконанiй дiльницями договiрнiй цiнi обсяги БМР за даними бухгалтерського облiку складають- 76 208,09 тис. грн, що на 6 381,69 тис. грн бiльше, нiж планувалося у грошовому вираженнi та на- 9,1% у  вiдносному. До  досягнутого рiвня аналогiчного показника 2020 року обсяг БМР складає-154,2% (2020р.-49 420,8 тис грн);</w:t>
      </w:r>
    </w:p>
    <w:p w14:paraId="0338626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-фонд вiдрядної заробiтної плати дiльниць становить  -8 083,9 тис. грн., при цьому, середня заробiтна плата в розрахунку на вiдпрацьований люд-день-897,51 грн, виробiток на людино-день в грошовому виразi-8 461,98 грн ( по обсягах  будiвельно-монтажних робiт),  прибуток вiд дiяльностi- 10 548,1 тис. грн., при рентабельностi виробництва -16,06% ( за 2020р. прибуток-6 330,6тис грн.,  при рентабельностi-14,7%). Порiвнюючи досягнутi показники  у 2021 роцi iз запланованими, маємо наступне: 89,5% по фонду вiдрядної заробiтної плати, 98,1% середня заробiтна плата в розрахунку на вiдпрацьований люд-день, 119,67% виробiток по БМР та 129,9% по прибутку.  Аналiзуючи дiяльнiсть дiльниць варто звернути увагу на те, що кожен вiдпрацьований у 2021роцi робiтниками дiльниць людино-день приносив Товариству 1171,10 грн прибутку, що на 43,18% вище, нiж в аналогiчному перiодi 2020 року-(817,91 грн прибутку/людино-день) та на 42,4% вище, нiж планувалося ( 822,39 грн/люд-день). При цьому, середня заробiтна плата в розрахунку на вiдпрацьований люд-день зросла по вiдношенню до минулого року на 23,5% ( iз 726,5 грн/люд-день у 2020 роцi до 897,51 грн/ люд-день у 2021р). Враховуючи рiвень пiдняття вiдрядних розцiнок за 2021 рiк на 35,4%- це свiдчить про невиконання працiвниками дiльниць показника продуктивнiсть працi у фiзичному вираженнi. Працiвниками монтажних дiльниць №1,2,5 змонтовано- 50 258 м2 повiтроводiв ( у 2020р.-44 795,0м2). Продуктивнiсть працi у фiзичному виразi ( обсяг монтажу приведених м2) в розрахунку на люд-день знизилась до 7,08 приведених м2/ на вiдпрацьований люд-день. (7,9м2/люд-день  у 2020р., 8,7м2 у 2019 роцi), що є пiдтвердженням вище згаданого твердження.</w:t>
      </w:r>
    </w:p>
    <w:p w14:paraId="747B00C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Показники виробничої дiяльностi ВКД наступнi: </w:t>
      </w:r>
    </w:p>
    <w:p w14:paraId="71C369B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виконано обсяг робiт в ДЦ на суму-22 925,2 грн, що становить 98,3% до плану. Договiрна цiна недовиконана  ВКД на 396,40 тис. грн  ( у 2020р.- ДЦ -13 047,70 тис. грн). Фонд вiдрядної ЗП склав -2301,0 тис. грн., або 87,5% до плану, середня заробiтна плата на вiдпрацьований люд-день склала- 928,20 грн., або -96,3% до плану. Собiвартiсть продукцiї ВКД в структурi цiни зросла на 3,17% в порiвняннi з планом ( iз 91,1% до 93,99%) та на 6,59% в порiвняннi з показником 2020 року.  Внаслiдок зростання собiвартостi за пiдсумками 2021 року вiд дiяльностi ВКД отримано 1 375,7 тис. грн прибутку при рентабельностi виробництва -6,38%, що на 699,5 тис. грн або 33,7% менше, нiж планувалося  ( у 2020р.-1 541,9 тис грн прибутку при рентабельностi виробництва 13,4%). Кожен вiдпрацьований у 2021роцi робiтниками ВКД людино-день приносив Товариству 554,94 грн прибутку, що на 21,86% менше, нiж в аналогiчному перiодi 2020 року-(710,23 грн прибутку/людино-день) та на 27,05% менше, нiж планувалося ( 760,70 грн/люд-день). На зниження ефективностi виробничої дiяльностi ВКД значний вплив мали ринковi змiни ( пiдвищення) цiн на оцинкований метал, який є основною сировиною для виготовлення повiтроводiв та вiдсутнiсть продажу стороннiм замовникам, i зосередженiсть на внутрiшнiх споживачах ( дiльницях). Вентиляцiйним цехом виготовлено-49 230м2 повiтроводiв, що на 13,7% у вiдносному значеннi та на 7829 м2 у  фiзичних обсягах менше, нiж планували, проте на 19,3% ( або 7972 м2) бiльше, нiж в аналогiчному перiодi 2020 року ( 41258м2). Продуктивнiсть працi у фiзичних одиницях була не виконана i склала 24,37м2 проти запланованих- 25,1м2 на люд-день. Неефективною впродовж декiлькох рокiв залишається робота працiвникiв складального цеху. Тут причина в органiзацiї  та плануванi роботи самих працiвникiв. За пiдсумками роботи у 2021 роцi обсяги робiт в ДЦ виконанi на 94,9%, продуктивнiсть працi в грошовому вираженнi- на 94,1%, прибуток - на 70,3%,  рентабельнiсть продукцiї складального цеху знизилась на 28,13% до 8,61%  в порiвняннi з планом. Кожен вiдпрацьований у 2021роцi робiтниками складального цеху ВКД людино-день приносив Товариству 257,08 грн прибутку, що на 30,29% менше, нiж планувалося ( 368,8 грн/люд-день). А це вiдповiдно  в 4,56 рази менше, нiж сума прибутку в розрахунку на вiдпрацьований люд-день, який заробляють робiтники монтажних дiльниць.</w:t>
      </w:r>
    </w:p>
    <w:p w14:paraId="021C200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працiвникiв по Товариству за пiдсумками 2021року склала 96 працiвникiв, якими вiдпрацьовано 20720 люд-днiв, що в середньому на одного працiвника складає 216 днiв за рiк. Зазначений показник дещо вищий в порiвняннi з 2020 роком, адже у 2020 роцi середньооблiкова чисельнiсть була -92 працiвники, якими вiдпрацьовано 19103 люд-днi, що в середньому на одного працiвника складає 208 днiв за рiк. Залишилися вiдкритими питання:</w:t>
      </w:r>
    </w:p>
    <w:p w14:paraId="7066A3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використання робочого часу працiвниками;</w:t>
      </w:r>
    </w:p>
    <w:p w14:paraId="29A30A7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плиннiсть та адаптацiя в колективi, мотивацiя до працi. </w:t>
      </w:r>
    </w:p>
    <w:p w14:paraId="616687AB">
      <w:pPr>
        <w:spacing w:beforeLines="0" w:afterLines="0"/>
        <w:rPr>
          <w:rFonts w:hint="default" w:ascii="Times New Roman CYR" w:hAnsi="Times New Roman CYR" w:eastAsia="Times New Roman CYR"/>
          <w:sz w:val="24"/>
          <w:szCs w:val="24"/>
        </w:rPr>
      </w:pPr>
    </w:p>
    <w:p w14:paraId="4E847C0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Дотримуючись законодавства України Про оплату працi та вiдповiдно до "Закону України про держбюджет України на 2021 рiк" переглядались тарифнi ставки робiтникiв з урахуванням змiни рiвня мiнiмальної зарплати,  пiдвищувались оклади, переглядалися в сторону збiльшення вiдряднi розцiнки:</w:t>
      </w:r>
    </w:p>
    <w:p w14:paraId="223C979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на монтажнi роботи розцiнки пiдвищенi на 35,4%;</w:t>
      </w:r>
    </w:p>
    <w:p w14:paraId="2DE0724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 iзоляцiйнi роботи розцiнки пiдвищенi на 33%;</w:t>
      </w:r>
    </w:p>
    <w:p w14:paraId="29CDA4A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на виготовлення продукцiї вентиляцiйним цехом-на 20,1%;</w:t>
      </w:r>
    </w:p>
    <w:p w14:paraId="0ECB762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на  виготовлення продукцiї складальним цехом- на 20,1%.</w:t>
      </w:r>
    </w:p>
    <w:p w14:paraId="5D0A109B">
      <w:pPr>
        <w:spacing w:beforeLines="0" w:afterLines="0"/>
        <w:rPr>
          <w:rFonts w:hint="default" w:ascii="Times New Roman CYR" w:hAnsi="Times New Roman CYR" w:eastAsia="Times New Roman CYR"/>
          <w:sz w:val="24"/>
          <w:szCs w:val="24"/>
        </w:rPr>
      </w:pPr>
    </w:p>
    <w:p w14:paraId="506F727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Щодо виконання показникiв комплексного плану, доповiдаю  наступне:</w:t>
      </w:r>
    </w:p>
    <w:p w14:paraId="77644AB5">
      <w:pPr>
        <w:spacing w:beforeLines="0" w:afterLines="0"/>
        <w:rPr>
          <w:rFonts w:hint="default" w:ascii="Times New Roman CYR" w:hAnsi="Times New Roman CYR" w:eastAsia="Times New Roman CYR"/>
          <w:sz w:val="24"/>
          <w:szCs w:val="24"/>
        </w:rPr>
      </w:pPr>
    </w:p>
    <w:p w14:paraId="04DB943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На зборах акцiонерiв Комплексний план був затверджений в сумi 4 126, 198 тис.грн., за пiдсумками шести роздiлiв. 03.09.21 пiдводячи пiдсумки та аналiзуючи виконання окремих статтей плану було проведене коригування в сторону збiльшення на 162,661 тис. грн. </w:t>
      </w:r>
    </w:p>
    <w:p w14:paraId="2236DE2E">
      <w:pPr>
        <w:spacing w:beforeLines="0" w:afterLines="0"/>
        <w:jc w:val="left"/>
        <w:rPr>
          <w:rFonts w:hint="default" w:ascii="Times New Roman CYR" w:hAnsi="Times New Roman CYR" w:eastAsia="Times New Roman CYR"/>
          <w:sz w:val="24"/>
          <w:szCs w:val="24"/>
        </w:rPr>
      </w:pPr>
    </w:p>
    <w:p w14:paraId="4674537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4467AF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6198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411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0548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4C14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A8B8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1C7809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80E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97B626">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B222A7">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A941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81</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3C60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81</w:t>
            </w:r>
          </w:p>
        </w:tc>
      </w:tr>
    </w:tbl>
    <w:p w14:paraId="6780CB7E">
      <w:pPr>
        <w:spacing w:beforeLines="0" w:afterLines="0"/>
        <w:jc w:val="left"/>
        <w:rPr>
          <w:rFonts w:hint="default" w:ascii="Times New Roman CYR" w:hAnsi="Times New Roman CYR" w:eastAsia="Times New Roman CYR"/>
          <w:sz w:val="22"/>
          <w:szCs w:val="24"/>
        </w:rPr>
      </w:pPr>
    </w:p>
    <w:p w14:paraId="6E9109C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2) звіт про сталий розвиток</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
        <w:gridCol w:w="4700"/>
        <w:gridCol w:w="5000"/>
      </w:tblGrid>
      <w:tr w14:paraId="453464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6E657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4F1E89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Оцінка діяльності щодо захисту довкілля та соціальної відповідальності за звітний період:</w:t>
            </w:r>
          </w:p>
        </w:tc>
      </w:tr>
      <w:tr w14:paraId="503FF1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D4310A">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A58ABE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своїй дiяльностi Товариство дотримується всiх вимог проєкту, санiтарних та будiвельних вимог, норм i правил, а також вимог в галузi охорони навколишнього середовища. Вживаються заходи з охорони навколишнього середовища. З кожним роком вимоги до еколого-економiчних аспектiв  стають бiльш актуальними i вимагають стратегiчного бачення та врахування екологiчного стану.</w:t>
            </w:r>
          </w:p>
          <w:p w14:paraId="2B87DF9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Соцiальна вiдповiдальнiсть передбачає етичне ставлення до працiвникiв, партнерiв та довкiлля, спрямоване на сталий розвиток, формування позитивної репутацiї та довгострокове зростання Товариства. </w:t>
            </w:r>
          </w:p>
        </w:tc>
      </w:tr>
      <w:tr w14:paraId="27EBD8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8F0AC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676A5C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14:paraId="05258A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0A1F58">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02F1E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83C64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Екологiчнi ризики - це ймовiрнiсть негативних змiн у навколишньому середовищi або довгостроковi несприятливi наслiдки, спричиненi людською дiяльнiстю, техногенними аварiями чи природними катастрофами. </w:t>
            </w:r>
          </w:p>
          <w:p w14:paraId="7C9299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Екологiчнi ризики в будiвництвi включають забруднення повiтря, води та грунту, утворення великої кiлькостi вiдходiв, шумове забруднення та знищення бiорiзноманiття. Основнi загрози пов'язанi з  викидами будiвельної технiки, використанням токсичних матерiалiв та енергоємною експлуатацiєю будiвель, що потребує впровадження "зелених" стандартiв.</w:t>
            </w:r>
          </w:p>
        </w:tc>
      </w:tr>
      <w:tr w14:paraId="2D84E4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CFB00E">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B89BC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F9CDF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Для зменшення негативного впливу на довкiлля застосовуються практики "зеленого будiвництва", якi передбачають використання екологiчних матерiалiв, енергоефективнi технологiї, переробку вiдходiв.</w:t>
            </w:r>
          </w:p>
        </w:tc>
      </w:tr>
      <w:tr w14:paraId="65FC05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A914A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5E5740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положення політики з питань захисту довкілля та соціальної відповідальності:</w:t>
            </w:r>
          </w:p>
        </w:tc>
      </w:tr>
      <w:tr w14:paraId="77052F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87DDE9">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528F0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249BD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Полiтика з питань захисту довкiлля та соцiальної вiдповiдальностi не приймалась.</w:t>
            </w:r>
          </w:p>
        </w:tc>
      </w:tr>
      <w:tr w14:paraId="67B346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C32BF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7D3B96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14:paraId="7F6B15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B02380">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A4A7B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59E40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Питання щодо захисту довкiлля та соцiальної вiдповiдальностi Директором не розглядались.</w:t>
            </w:r>
          </w:p>
        </w:tc>
      </w:tr>
      <w:tr w14:paraId="0F1503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088312">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086E2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Перелік питань, які розглядались радою та короткий зміст рішень, які було прийнято:</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B4673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Питання щодо захисту довкiлля та соцiальної вiдповiдальностi Наглядовою радою не розглядались.</w:t>
            </w:r>
          </w:p>
        </w:tc>
      </w:tr>
      <w:tr w14:paraId="49EC67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90FAE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AD3170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14:paraId="18F4229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A3744D">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381F42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Iнформацiї щодо впливу дiяльностi особи на стейкхолдерiв Товариство не має. </w:t>
            </w:r>
          </w:p>
        </w:tc>
      </w:tr>
      <w:tr w14:paraId="7CC006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66FDE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E2D71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14:paraId="161D83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D861E5">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1AEF18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стейкхолдерiв, якi мають вплив на досягнення стратегiчних цiлей, вiдсутня.</w:t>
            </w:r>
          </w:p>
        </w:tc>
      </w:tr>
      <w:tr w14:paraId="4708E3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ED698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11E5A3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положення політики щодо взаємодії зі стейкхолдерами, у тому числі акціонерами/учасниками:</w:t>
            </w:r>
          </w:p>
        </w:tc>
      </w:tr>
      <w:tr w14:paraId="14AA56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746FD7">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BD2B53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Полiтика щодо взаємодiї зi стейкхолдерами вiдсутня.</w:t>
            </w:r>
          </w:p>
        </w:tc>
      </w:tr>
    </w:tbl>
    <w:p w14:paraId="1F81C024">
      <w:pPr>
        <w:spacing w:beforeLines="0" w:afterLines="0"/>
        <w:jc w:val="left"/>
        <w:rPr>
          <w:rFonts w:hint="default" w:ascii="Times New Roman CYR" w:hAnsi="Times New Roman CYR" w:eastAsia="Times New Roman CYR"/>
          <w:sz w:val="24"/>
          <w:szCs w:val="24"/>
        </w:rPr>
      </w:pPr>
    </w:p>
    <w:p w14:paraId="25FC0BF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4. Дивіденди</w:t>
      </w:r>
    </w:p>
    <w:p w14:paraId="4EABC9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виплату дивідендів та інших доходів за цінними паперами у звітному році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000"/>
        <w:gridCol w:w="3000"/>
        <w:gridCol w:w="2500"/>
        <w:gridCol w:w="2500"/>
      </w:tblGrid>
      <w:tr w14:paraId="192FD0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vMerge w:val="restart"/>
            <w:tcBorders>
              <w:top w:val="single" w:color="auto" w:sz="6" w:space="0"/>
              <w:left w:val="single" w:color="auto" w:sz="6" w:space="0"/>
              <w:bottom w:val="nil"/>
              <w:right w:val="single" w:color="auto" w:sz="6" w:space="0"/>
              <w:tl2br w:val="nil"/>
              <w:tr2bl w:val="nil"/>
            </w:tcBorders>
            <w:noWrap w:val="0"/>
            <w:vAlign w:val="center"/>
          </w:tcPr>
          <w:p w14:paraId="435DD4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Інформація про виплату дивідендів</w:t>
            </w:r>
          </w:p>
        </w:tc>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7DE9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звітному періоді</w:t>
            </w:r>
          </w:p>
        </w:tc>
      </w:tr>
      <w:tr w14:paraId="2E370A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vMerge w:val="continue"/>
            <w:tcBorders>
              <w:top w:val="nil"/>
              <w:left w:val="single" w:color="auto" w:sz="6" w:space="0"/>
              <w:bottom w:val="single" w:color="auto" w:sz="6" w:space="0"/>
              <w:right w:val="single" w:color="auto" w:sz="6" w:space="0"/>
              <w:tl2br w:val="nil"/>
              <w:tr2bl w:val="nil"/>
            </w:tcBorders>
            <w:noWrap w:val="0"/>
            <w:vAlign w:val="center"/>
          </w:tcPr>
          <w:p w14:paraId="7FAE5C26">
            <w:pPr>
              <w:spacing w:beforeLines="0" w:afterLines="0"/>
              <w:jc w:val="center"/>
              <w:rPr>
                <w:rFonts w:hint="default" w:ascii="Times New Roman CYR" w:hAnsi="Times New Roman CYR" w:eastAsia="Times New Roman CYR"/>
                <w:sz w:val="22"/>
                <w:szCs w:val="24"/>
              </w:rPr>
            </w:pP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5E2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простими акціями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E32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привілейованими акціями</w:t>
            </w:r>
          </w:p>
        </w:tc>
      </w:tr>
      <w:tr w14:paraId="108555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EFF48B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Сума нарахованих дивідендів, грн.</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6836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380 000</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5714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5C827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19036A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Нараховані дивіденди на одну акцію, грн.</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D2A6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4707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C654A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AAFED4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Сума виплачених/перерахованих дивідендів, грн.</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CEB3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BCE0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F3120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86C6DB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CDEF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25.05.2021</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83BA93">
            <w:pPr>
              <w:spacing w:beforeLines="0" w:afterLines="0"/>
              <w:jc w:val="center"/>
              <w:rPr>
                <w:rFonts w:hint="default" w:ascii="Times New Roman CYR" w:hAnsi="Times New Roman CYR" w:eastAsia="Times New Roman CYR"/>
                <w:sz w:val="22"/>
                <w:szCs w:val="24"/>
              </w:rPr>
            </w:pPr>
          </w:p>
        </w:tc>
      </w:tr>
      <w:tr w14:paraId="2CD8A8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C31104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складення переліку осіб, які мають право на отримання дивідендів</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9205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04.06.2021</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A3C2D1">
            <w:pPr>
              <w:spacing w:beforeLines="0" w:afterLines="0"/>
              <w:jc w:val="center"/>
              <w:rPr>
                <w:rFonts w:hint="default" w:ascii="Times New Roman CYR" w:hAnsi="Times New Roman CYR" w:eastAsia="Times New Roman CYR"/>
                <w:sz w:val="22"/>
                <w:szCs w:val="24"/>
              </w:rPr>
            </w:pPr>
          </w:p>
        </w:tc>
      </w:tr>
      <w:tr w14:paraId="66389E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D8DA5A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Спосіб виплати дивідендів</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0604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грошовими коштами шляхом перерахування на картковi рахунки акцiонерiв i поштовими переказами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6CAB98">
            <w:pPr>
              <w:spacing w:beforeLines="0" w:afterLines="0"/>
              <w:jc w:val="center"/>
              <w:rPr>
                <w:rFonts w:hint="default" w:ascii="Times New Roman CYR" w:hAnsi="Times New Roman CYR" w:eastAsia="Times New Roman CYR"/>
                <w:sz w:val="22"/>
                <w:szCs w:val="24"/>
              </w:rPr>
            </w:pPr>
          </w:p>
        </w:tc>
      </w:tr>
      <w:tr w14:paraId="0B9830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C4151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(дати) перерахування дивідендів через депозитарну систему із зазначенням сум (грн) перерахованих дивідендів на відповідну дату</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1F5D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За результатами звітного періоду: </w:t>
            </w:r>
          </w:p>
          <w:p w14:paraId="1E463B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За результатами попереднього періоду: </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5790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За результатами звітного періоду: </w:t>
            </w:r>
          </w:p>
          <w:p w14:paraId="2485E7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За результатами попереднього періоду: </w:t>
            </w:r>
          </w:p>
        </w:tc>
      </w:tr>
      <w:tr w14:paraId="318CE6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D01B98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E3FD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За результатами звітного періоду: </w:t>
            </w:r>
          </w:p>
          <w:p w14:paraId="506D4D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За результатами попереднього періоду: </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C8B7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За результатами звітного періоду: </w:t>
            </w:r>
          </w:p>
          <w:p w14:paraId="170DD4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За результатами попереднього періоду: </w:t>
            </w:r>
          </w:p>
        </w:tc>
      </w:tr>
      <w:tr w14:paraId="515969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89DA5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800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2B78462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Виплата  дивiдендiв через депозитарну систему не здiйснювалась.</w:t>
            </w:r>
          </w:p>
        </w:tc>
      </w:tr>
    </w:tbl>
    <w:p w14:paraId="2483EE57">
      <w:pPr>
        <w:spacing w:beforeLines="0" w:afterLines="0"/>
        <w:jc w:val="left"/>
        <w:rPr>
          <w:rFonts w:hint="default" w:ascii="Times New Roman CYR" w:hAnsi="Times New Roman CYR" w:eastAsia="Times New Roman CYR"/>
          <w:sz w:val="22"/>
          <w:szCs w:val="24"/>
        </w:rPr>
      </w:pPr>
    </w:p>
    <w:p w14:paraId="3C439FFC">
      <w:pPr>
        <w:spacing w:beforeLines="0" w:afterLines="0"/>
        <w:jc w:val="left"/>
        <w:rPr>
          <w:rFonts w:hint="default" w:ascii="Times New Roman CYR" w:hAnsi="Times New Roman CYR" w:eastAsia="Times New Roman CYR"/>
          <w:sz w:val="22"/>
          <w:szCs w:val="24"/>
        </w:rPr>
      </w:pPr>
    </w:p>
    <w:p w14:paraId="6D81053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22C068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541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74E0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DD4E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6391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10124C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D7C7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DE1D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F045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963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1E2C05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DB16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C7EF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D65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3E36EF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МЕТА ТА ПРЕДМЕТ ДIЯЛЬНОСТI ТОВАРИСТВА.</w:t>
            </w:r>
          </w:p>
          <w:p w14:paraId="08FBED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ЮРИДИЧНИЙ СТАТУС ТОВАРИСТВА</w:t>
            </w:r>
          </w:p>
          <w:p w14:paraId="7170FF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МАЙНО ТОВАРИСТВА.</w:t>
            </w:r>
          </w:p>
          <w:p w14:paraId="059077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АКЦIОНЕРИ (ЗАСНОВНИКИ) ТОВАРИСТВА.</w:t>
            </w:r>
          </w:p>
          <w:p w14:paraId="311A35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СТАТУТНИЙ КАПIТАЛ ТА АКЦIЇ ТОВАРИСТВА.</w:t>
            </w:r>
          </w:p>
          <w:p w14:paraId="288821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ПОРЯДОК ВIДЧУЖЕННЯ АКЦIЙ ТОВАРИСТВА.</w:t>
            </w:r>
          </w:p>
          <w:p w14:paraId="00D622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ПОРЯДОК РОЗПОДIЛУ ПРИБУТКУ ТА ДИВIДЕНДИ</w:t>
            </w:r>
          </w:p>
          <w:p w14:paraId="729663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ОРГАНИ УПРАВЛIННЯ ТОВАРИСТВОМ.</w:t>
            </w:r>
          </w:p>
          <w:p w14:paraId="1FD05C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ЗАГАЛЬНI ЗБОРИ.</w:t>
            </w:r>
          </w:p>
          <w:p w14:paraId="7CCA69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НАГЛЯДОВА РАДА АКЦIОНЕРНОГО ТОВАРИСТВА</w:t>
            </w:r>
          </w:p>
          <w:p w14:paraId="149BE3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12. ВИКОНАВЧИЙ ОРГАН </w:t>
            </w:r>
          </w:p>
          <w:p w14:paraId="32C1E2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КОРПОРАТИВНИЙ СЕКРЕТАР</w:t>
            </w:r>
          </w:p>
          <w:p w14:paraId="5FD9A0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14. ПРИДБАННЯ ПАКЕТУ АКЦIЙ ТОВАРИСТВА </w:t>
            </w:r>
          </w:p>
          <w:p w14:paraId="2074AE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ЗНАЧНI ПРАВОЧИНИ</w:t>
            </w:r>
          </w:p>
          <w:p w14:paraId="3A886A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ГОСПОДАРСЬКА ТА ЗОВНIШНЬОЕКОНОМIЧНА ДIЯЛЬНIСТЬ ТОВАРИСТВА.</w:t>
            </w:r>
          </w:p>
          <w:p w14:paraId="3327DF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ОРГАНIЗАЦIЯ ТА ОПЛАТА ПРАЦI ПРАЦIВНИКIВ ТОВАРИСТВА.</w:t>
            </w:r>
          </w:p>
          <w:p w14:paraId="7A1A2E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ОБЛIК ТА ЗВIТНIСТЬ ТОВАРИСТВА. IНФОРМАЦIЯ ПРО ТОВАРИСТВО.</w:t>
            </w:r>
          </w:p>
          <w:p w14:paraId="6B5A30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ПЕРЕВIРКА ФIНАНСОВО-ГОСПОДАРСЬКОЇ ДIЯЛЬНОСТI ТОВАРИСТВА.</w:t>
            </w:r>
          </w:p>
          <w:p w14:paraId="2103BC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21.ПРИПИНЕННЯ ДIЯЛЬНОСТI ТОВАРИСТВА.</w:t>
            </w:r>
          </w:p>
          <w:p w14:paraId="3C4300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21.ПРИПИНЕННЯ ДIЯЛЬНОСТI ТОВАРИСТВА.</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46A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http://ksm.emitents.net.ua/ua/docs/?fg_id=102</w:t>
            </w:r>
          </w:p>
        </w:tc>
      </w:tr>
    </w:tbl>
    <w:p w14:paraId="6824E1E4">
      <w:pPr>
        <w:spacing w:beforeLines="0" w:afterLines="0"/>
        <w:jc w:val="left"/>
        <w:rPr>
          <w:rFonts w:hint="default" w:ascii="Times New Roman CYR" w:hAnsi="Times New Roman CYR" w:eastAsia="Times New Roman CYR"/>
          <w:sz w:val="22"/>
          <w:szCs w:val="24"/>
        </w:rPr>
      </w:pPr>
    </w:p>
    <w:p w14:paraId="635F48C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VI. Список посилань на регульовану інформацію, яка була розкрита протягом звітного року</w:t>
      </w:r>
    </w:p>
    <w:p w14:paraId="70F4BF6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Особлива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1500"/>
        <w:gridCol w:w="5500"/>
      </w:tblGrid>
      <w:tr w14:paraId="6C05BA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A832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1D46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особливої інформації</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DC9B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розкриття інформації</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0B18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URL-адреси, за якими розміщена інформація, яка розкривалася протягом звітного року</w:t>
            </w:r>
          </w:p>
        </w:tc>
      </w:tr>
      <w:tr w14:paraId="07CC88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F64F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7D03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DC29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F9DA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35BEAA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49E0EC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top"/>
          </w:tcPr>
          <w:p w14:paraId="4D0E33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Відомості про прийняття рішення про виплату дивідендів</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D467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26.05.2021</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C661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https://stockmarket.gov.ua/cabinet/?cabinet_report_filter%5Bcode%5D=04012615&amp;cabinet_report_filter%5Bkind%5D=all</w:t>
            </w:r>
          </w:p>
          <w:p w14:paraId="262634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http://ksm.emitents.net.ua/ua/docs/?fg_id=102</w:t>
            </w:r>
          </w:p>
        </w:tc>
      </w:tr>
    </w:tbl>
    <w:p w14:paraId="56309C27">
      <w:pPr>
        <w:spacing w:beforeLines="0" w:afterLines="0"/>
        <w:jc w:val="left"/>
        <w:rPr>
          <w:rFonts w:hint="default" w:ascii="Times New Roman CYR" w:hAnsi="Times New Roman CYR" w:eastAsia="Times New Roman CYR"/>
          <w:sz w:val="22"/>
          <w:szCs w:val="24"/>
        </w:rPr>
      </w:pPr>
    </w:p>
    <w:p w14:paraId="2DCD7B65">
      <w:pPr>
        <w:spacing w:beforeLines="0" w:afterLines="0"/>
        <w:jc w:val="left"/>
        <w:rPr>
          <w:rFonts w:hint="default" w:ascii="Times New Roman CYR" w:hAnsi="Times New Roman CYR" w:eastAsia="Times New Roman CYR"/>
          <w:b/>
          <w:i/>
          <w:sz w:val="24"/>
          <w:szCs w:val="24"/>
        </w:rPr>
      </w:pPr>
      <w:r>
        <w:rPr>
          <w:rFonts w:hint="default" w:ascii="Times New Roman CYR" w:hAnsi="Times New Roman CYR" w:eastAsia="Times New Roman CYR"/>
          <w:b/>
          <w:i/>
          <w:sz w:val="24"/>
          <w:szCs w:val="24"/>
        </w:rPr>
        <w:t>3. Інша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1500"/>
        <w:gridCol w:w="5500"/>
      </w:tblGrid>
      <w:tr w14:paraId="08AF79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E91E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139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іншої інформації</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7CD8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розкриття інформації</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83D8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URL-адреси, за якими розміщена інформація, яка розкривалася протягом звітного року</w:t>
            </w:r>
          </w:p>
        </w:tc>
      </w:tr>
      <w:tr w14:paraId="54FC89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A3C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F92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5431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782D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1AB71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0AA521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top"/>
          </w:tcPr>
          <w:p w14:paraId="486914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Відомості про проведення загальних зборів</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0853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23.04.2021</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FF81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https://stockmarket.gov.ua/cabinet/show/56585</w:t>
            </w:r>
          </w:p>
        </w:tc>
      </w:tr>
      <w:tr w14:paraId="4CB413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19ED8C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top"/>
          </w:tcPr>
          <w:p w14:paraId="5E4A48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Відомості про проведення загальних зборів</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8E2A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26.05.2021</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F99B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https://stockmarket.gov.ua/cabinet/show/60976</w:t>
            </w:r>
          </w:p>
        </w:tc>
      </w:tr>
    </w:tbl>
    <w:p w14:paraId="5E1404BB">
      <w:pPr>
        <w:spacing w:beforeLines="0" w:afterLines="0"/>
        <w:jc w:val="left"/>
        <w:rPr>
          <w:rFonts w:hint="default" w:ascii="Times New Roman CYR" w:hAnsi="Times New Roman CYR" w:eastAsia="Times New Roman CYR"/>
          <w:sz w:val="22"/>
          <w:szCs w:val="24"/>
        </w:rPr>
      </w:pPr>
    </w:p>
    <w:p w14:paraId="2B45F5A2">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66"/>
        <w:gridCol w:w="1654"/>
        <w:gridCol w:w="1720"/>
      </w:tblGrid>
      <w:tr w14:paraId="420C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280" w:type="dxa"/>
          <w:trHeight w:val="300" w:hRule="atLeast"/>
        </w:trPr>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0C8B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3933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26" w:type="dxa"/>
          <w:trHeight w:val="300" w:hRule="atLeast"/>
        </w:trPr>
        <w:tc>
          <w:tcPr>
            <w:tcW w:w="1654" w:type="dxa"/>
            <w:tcBorders>
              <w:top w:val="nil"/>
              <w:left w:val="nil"/>
              <w:bottom w:val="nil"/>
              <w:right w:val="single" w:color="auto" w:sz="6" w:space="0"/>
              <w:tl2br w:val="nil"/>
              <w:tr2bl w:val="nil"/>
            </w:tcBorders>
            <w:noWrap w:val="0"/>
            <w:vAlign w:val="center"/>
          </w:tcPr>
          <w:p w14:paraId="5C8803B1">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91E8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01.01.2022</w:t>
            </w:r>
          </w:p>
        </w:tc>
      </w:tr>
      <w:tr w14:paraId="2F42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7C397D0E">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66" w:type="dxa"/>
            <w:tcBorders>
              <w:top w:val="nil"/>
              <w:left w:val="nil"/>
              <w:bottom w:val="nil"/>
              <w:right w:val="nil"/>
              <w:tl2br w:val="nil"/>
              <w:tr2bl w:val="nil"/>
            </w:tcBorders>
            <w:noWrap w:val="0"/>
            <w:vAlign w:val="center"/>
          </w:tcPr>
          <w:p w14:paraId="0FB91D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654" w:type="dxa"/>
            <w:tcBorders>
              <w:top w:val="nil"/>
              <w:left w:val="nil"/>
              <w:bottom w:val="nil"/>
              <w:right w:val="single" w:color="auto" w:sz="6" w:space="0"/>
              <w:tl2br w:val="nil"/>
              <w:tr2bl w:val="nil"/>
            </w:tcBorders>
            <w:noWrap w:val="0"/>
            <w:vAlign w:val="center"/>
          </w:tcPr>
          <w:p w14:paraId="392FC363">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1A5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r w14:paraId="7615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7B0785F5">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66" w:type="dxa"/>
            <w:tcBorders>
              <w:top w:val="nil"/>
              <w:left w:val="nil"/>
              <w:bottom w:val="nil"/>
              <w:right w:val="nil"/>
              <w:tl2br w:val="nil"/>
              <w:tr2bl w:val="nil"/>
            </w:tcBorders>
            <w:noWrap w:val="0"/>
            <w:vAlign w:val="center"/>
          </w:tcPr>
          <w:p w14:paraId="6822BBE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м.Київ</w:t>
            </w:r>
          </w:p>
        </w:tc>
        <w:tc>
          <w:tcPr>
            <w:tcW w:w="1654" w:type="dxa"/>
            <w:tcBorders>
              <w:top w:val="nil"/>
              <w:left w:val="nil"/>
              <w:bottom w:val="nil"/>
              <w:right w:val="single" w:color="auto" w:sz="6" w:space="0"/>
              <w:tl2br w:val="nil"/>
              <w:tr2bl w:val="nil"/>
            </w:tcBorders>
            <w:noWrap w:val="0"/>
            <w:vAlign w:val="center"/>
          </w:tcPr>
          <w:p w14:paraId="5E12171B">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729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UA80000000000624772</w:t>
            </w:r>
          </w:p>
        </w:tc>
      </w:tr>
      <w:tr w14:paraId="587C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5946FD8F">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66" w:type="dxa"/>
            <w:tcBorders>
              <w:top w:val="nil"/>
              <w:left w:val="nil"/>
              <w:bottom w:val="nil"/>
              <w:right w:val="nil"/>
              <w:tl2br w:val="nil"/>
              <w:tr2bl w:val="nil"/>
            </w:tcBorders>
            <w:noWrap w:val="0"/>
            <w:vAlign w:val="center"/>
          </w:tcPr>
          <w:p w14:paraId="2FD9DD7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c>
          <w:tcPr>
            <w:tcW w:w="1654" w:type="dxa"/>
            <w:tcBorders>
              <w:top w:val="nil"/>
              <w:left w:val="nil"/>
              <w:bottom w:val="nil"/>
              <w:right w:val="single" w:color="auto" w:sz="6" w:space="0"/>
              <w:tl2br w:val="nil"/>
              <w:tr2bl w:val="nil"/>
            </w:tcBorders>
            <w:noWrap w:val="0"/>
            <w:vAlign w:val="center"/>
          </w:tcPr>
          <w:p w14:paraId="746A8795">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0543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w:t>
            </w:r>
          </w:p>
        </w:tc>
      </w:tr>
      <w:tr w14:paraId="2F78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03C33629">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66" w:type="dxa"/>
            <w:tcBorders>
              <w:top w:val="nil"/>
              <w:left w:val="nil"/>
              <w:bottom w:val="nil"/>
              <w:right w:val="nil"/>
              <w:tl2br w:val="nil"/>
              <w:tr2bl w:val="nil"/>
            </w:tcBorders>
            <w:noWrap w:val="0"/>
            <w:vAlign w:val="center"/>
          </w:tcPr>
          <w:p w14:paraId="4714010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Монтаж водопровідних мереж, систем опалення та кондиціонування</w:t>
            </w:r>
          </w:p>
        </w:tc>
        <w:tc>
          <w:tcPr>
            <w:tcW w:w="1654" w:type="dxa"/>
            <w:tcBorders>
              <w:top w:val="nil"/>
              <w:left w:val="nil"/>
              <w:bottom w:val="nil"/>
              <w:right w:val="single" w:color="auto" w:sz="6" w:space="0"/>
              <w:tl2br w:val="nil"/>
              <w:tr2bl w:val="nil"/>
            </w:tcBorders>
            <w:noWrap w:val="0"/>
            <w:vAlign w:val="center"/>
          </w:tcPr>
          <w:p w14:paraId="4D9B06B9">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F401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43.22</w:t>
            </w:r>
          </w:p>
        </w:tc>
      </w:tr>
    </w:tbl>
    <w:p w14:paraId="1FA4125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w:t>
      </w:r>
      <w:r>
        <w:rPr>
          <w:rFonts w:hint="default" w:ascii="Times New Roman CYR" w:hAnsi="Times New Roman CYR" w:eastAsia="Times New Roman CYR"/>
          <w:sz w:val="22"/>
          <w:szCs w:val="24"/>
        </w:rPr>
        <w:t>96</w:t>
      </w:r>
    </w:p>
    <w:p w14:paraId="0BE095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01010 Київ, вул. Левандовська, буд. 3-Б, +38(044)294-67-77</w:t>
      </w:r>
    </w:p>
    <w:p w14:paraId="6EC281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без десяткового знака</w:t>
      </w:r>
    </w:p>
    <w:p w14:paraId="783DD3E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Складено </w:t>
      </w:r>
      <w:r>
        <w:rPr>
          <w:rFonts w:hint="default" w:ascii="Times New Roman CYR" w:hAnsi="Times New Roman CYR" w:eastAsia="Times New Roman CYR"/>
          <w:sz w:val="22"/>
          <w:szCs w:val="24"/>
        </w:rPr>
        <w:t>(зробити позначку "v" у відповідній клітинці):</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80"/>
        <w:gridCol w:w="1720"/>
      </w:tblGrid>
      <w:tr w14:paraId="163F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8280" w:type="dxa"/>
            <w:vMerge w:val="restart"/>
            <w:tcBorders>
              <w:top w:val="nil"/>
              <w:left w:val="nil"/>
              <w:bottom w:val="nil"/>
              <w:right w:val="nil"/>
              <w:tl2br w:val="nil"/>
              <w:tr2bl w:val="nil"/>
            </w:tcBorders>
            <w:noWrap w:val="0"/>
            <w:vAlign w:val="center"/>
          </w:tcPr>
          <w:p w14:paraId="3CE0DE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національними положеннями (стандартами) бухгалтерського обліку</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ADF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v</w:t>
            </w:r>
          </w:p>
        </w:tc>
      </w:tr>
      <w:tr w14:paraId="41D0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8280" w:type="dxa"/>
            <w:tcBorders>
              <w:top w:val="nil"/>
              <w:left w:val="nil"/>
              <w:bottom w:val="nil"/>
              <w:right w:val="nil"/>
              <w:tl2br w:val="nil"/>
              <w:tr2bl w:val="nil"/>
            </w:tcBorders>
            <w:noWrap w:val="0"/>
            <w:vAlign w:val="center"/>
          </w:tcPr>
          <w:p w14:paraId="65A1773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міжнародними стандартами фінансової звітності</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771F71">
            <w:pPr>
              <w:spacing w:beforeLines="0" w:afterLines="0"/>
              <w:jc w:val="left"/>
              <w:rPr>
                <w:rFonts w:hint="default" w:ascii="Times New Roman CYR" w:hAnsi="Times New Roman CYR" w:eastAsia="Times New Roman CYR"/>
                <w:sz w:val="22"/>
                <w:szCs w:val="24"/>
              </w:rPr>
            </w:pPr>
          </w:p>
        </w:tc>
      </w:tr>
    </w:tbl>
    <w:p w14:paraId="557D0668">
      <w:pPr>
        <w:spacing w:beforeLines="0" w:afterLines="0"/>
        <w:jc w:val="left"/>
        <w:rPr>
          <w:rFonts w:hint="default" w:ascii="Times New Roman CYR" w:hAnsi="Times New Roman CYR" w:eastAsia="Times New Roman CYR"/>
          <w:sz w:val="24"/>
          <w:szCs w:val="24"/>
        </w:rPr>
      </w:pPr>
    </w:p>
    <w:p w14:paraId="6C0A66B5">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Баланс</w:t>
      </w:r>
    </w:p>
    <w:p w14:paraId="60BC8789">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фінансовий стан)</w:t>
      </w:r>
    </w:p>
    <w:p w14:paraId="0EEE2E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4"/>
          <w:szCs w:val="24"/>
        </w:rPr>
        <w:t>на 31.12.2021 p.</w:t>
      </w:r>
    </w:p>
    <w:p w14:paraId="7D39C7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524"/>
        <w:gridCol w:w="1205"/>
        <w:gridCol w:w="296"/>
        <w:gridCol w:w="1349"/>
      </w:tblGrid>
      <w:tr w14:paraId="07563E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150" w:type="dxa"/>
          <w:trHeight w:val="280" w:hRule="atLeast"/>
        </w:trPr>
        <w:tc>
          <w:tcPr>
            <w:tcW w:w="1501" w:type="dxa"/>
            <w:gridSpan w:val="2"/>
            <w:tcBorders>
              <w:top w:val="nil"/>
              <w:left w:val="nil"/>
              <w:bottom w:val="nil"/>
              <w:right w:val="single" w:color="auto" w:sz="6" w:space="0"/>
              <w:tl2br w:val="nil"/>
              <w:tr2bl w:val="nil"/>
            </w:tcBorders>
            <w:noWrap w:val="0"/>
            <w:vAlign w:val="center"/>
          </w:tcPr>
          <w:p w14:paraId="0228E4C5">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349" w:type="dxa"/>
            <w:tcBorders>
              <w:top w:val="single" w:color="auto" w:sz="6" w:space="0"/>
              <w:left w:val="single" w:color="auto" w:sz="6" w:space="0"/>
              <w:bottom w:val="single" w:color="auto" w:sz="6" w:space="0"/>
              <w:right w:val="single" w:color="auto" w:sz="6" w:space="0"/>
              <w:tl2br w:val="nil"/>
              <w:tr2bl w:val="nil"/>
            </w:tcBorders>
            <w:noWrap w:val="0"/>
            <w:vAlign w:val="top"/>
          </w:tcPr>
          <w:p w14:paraId="0BCBE4C7">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1801001</w:t>
            </w:r>
          </w:p>
        </w:tc>
      </w:tr>
      <w:tr w14:paraId="6659E3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2660A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09D96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97493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періоду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116BA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2305D5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79FEC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14018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323F4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4EF01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041E1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4651C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9790971">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1D46E89">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28C8C41">
            <w:pPr>
              <w:spacing w:beforeLines="0" w:afterLines="0"/>
              <w:jc w:val="left"/>
              <w:rPr>
                <w:rFonts w:hint="default" w:ascii="Times New Roman CYR" w:hAnsi="Times New Roman CYR" w:eastAsia="Times New Roman CYR"/>
                <w:sz w:val="22"/>
                <w:szCs w:val="24"/>
              </w:rPr>
            </w:pPr>
          </w:p>
        </w:tc>
      </w:tr>
      <w:tr w14:paraId="6C136C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4CF3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Нематеріальні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7A2B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E29F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3A8E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65</w:t>
            </w:r>
          </w:p>
        </w:tc>
      </w:tr>
      <w:tr w14:paraId="279606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C1D5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0972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9C18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52F8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112</w:t>
            </w:r>
          </w:p>
        </w:tc>
      </w:tr>
      <w:tr w14:paraId="6F573C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B975F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накопичена амортизація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1055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21FE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( 40 )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1686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( 47 )</w:t>
            </w:r>
          </w:p>
        </w:tc>
      </w:tr>
      <w:tr w14:paraId="4A5A41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A2D3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Незавершені капітальні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682F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D446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7667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31D92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5B11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10A5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53A2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27 647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F483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26 210</w:t>
            </w:r>
          </w:p>
        </w:tc>
      </w:tr>
      <w:tr w14:paraId="2BC41B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77AD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1B7E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6550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41 412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637E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41 584</w:t>
            </w:r>
          </w:p>
        </w:tc>
      </w:tr>
      <w:tr w14:paraId="75DC77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9DEB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0474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69C3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( 13 765 )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C475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( 15 374 )</w:t>
            </w:r>
          </w:p>
        </w:tc>
      </w:tr>
      <w:tr w14:paraId="757DE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4CB3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Інвестиційна нерухомість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591D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7F11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EE36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C75E0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0DF1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F1D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F31C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0468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E5981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0C90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FEE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1017</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0D83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5C76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07CC5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8C3D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біологічні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8FD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9627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BA02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33C12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A77E4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8A13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1021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8D78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2CFC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CF108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CB49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накопичена амортизація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FE6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1022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60A6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773D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0DE3F8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301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фінансові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8982E7">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E0A2D5">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034006">
            <w:pPr>
              <w:spacing w:beforeLines="0" w:afterLines="0"/>
              <w:jc w:val="left"/>
              <w:rPr>
                <w:rFonts w:hint="default" w:ascii="Times New Roman CYR" w:hAnsi="Times New Roman CYR" w:eastAsia="Times New Roman CYR"/>
                <w:sz w:val="22"/>
                <w:szCs w:val="24"/>
              </w:rPr>
            </w:pPr>
          </w:p>
        </w:tc>
      </w:tr>
      <w:tr w14:paraId="14BA51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556AC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які обліковуються за методом участі в капіталі інших підприємств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C98D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B5C9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65E9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EC538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E594E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 фінансові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7AFC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6A7C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81BD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12963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C2B2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BEFA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E486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581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BFAF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1 144</w:t>
            </w:r>
          </w:p>
        </w:tc>
      </w:tr>
      <w:tr w14:paraId="3E4B7C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B71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податкові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B3A7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4D25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19CC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DE32D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32DDC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Гудвіл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B1A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EEFD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C629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5E98F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B1E12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аквізиційні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4110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1A4C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5EA8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A7F5D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45AD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Залишок коштів у централізованих страхових резервних фондах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F62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FE82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D9BC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7DFA4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1AFA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0980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F5FA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1 619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534A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1 913</w:t>
            </w:r>
          </w:p>
        </w:tc>
      </w:tr>
      <w:tr w14:paraId="49D632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84BBAB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584BA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ACC08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29 897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8CE0B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29 332</w:t>
            </w:r>
          </w:p>
        </w:tc>
      </w:tr>
      <w:tr w14:paraId="258172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23335B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3990F9E">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F870EB4">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7591985">
            <w:pPr>
              <w:spacing w:beforeLines="0" w:afterLines="0"/>
              <w:jc w:val="center"/>
              <w:rPr>
                <w:rFonts w:hint="default" w:ascii="Times New Roman CYR" w:hAnsi="Times New Roman CYR" w:eastAsia="Times New Roman CYR"/>
                <w:sz w:val="22"/>
                <w:szCs w:val="24"/>
              </w:rPr>
            </w:pPr>
          </w:p>
        </w:tc>
      </w:tr>
      <w:tr w14:paraId="06BF49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DC4A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D2CC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6AD9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6 300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F945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10 196</w:t>
            </w:r>
          </w:p>
        </w:tc>
      </w:tr>
      <w:tr w14:paraId="720B0A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E493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Виробничі 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126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0013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4 852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DEC3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8 226</w:t>
            </w:r>
          </w:p>
        </w:tc>
      </w:tr>
      <w:tr w14:paraId="715487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B12AE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Незавершене виробництво</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2A1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4070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477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52BB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414</w:t>
            </w:r>
          </w:p>
        </w:tc>
      </w:tr>
      <w:tr w14:paraId="2E3BE6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B8769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Готова продукція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72C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B903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971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A308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1 556</w:t>
            </w:r>
          </w:p>
        </w:tc>
      </w:tr>
      <w:tr w14:paraId="78647E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27E5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Товари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B1BC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1104</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03FC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CB50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FEE2B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C76A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Поточні біологічні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EE24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CADA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B1E6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34253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EE98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Депозити перестрахування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4D7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283A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0E4C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D043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17F60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Векселі одержані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B87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9DB9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6F7D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A72F9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9BEBD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Дебіторська заборгованість за продукцію,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3DA7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1125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CEB5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6 127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6644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8 641</w:t>
            </w:r>
          </w:p>
        </w:tc>
      </w:tr>
      <w:tr w14:paraId="4D3DF7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334A9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Дебіторська заборгованість за розрахунками: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CB0ECC">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A2CDEF">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595B0B">
            <w:pPr>
              <w:spacing w:beforeLines="0" w:afterLines="0"/>
              <w:jc w:val="left"/>
              <w:rPr>
                <w:rFonts w:hint="default" w:ascii="Times New Roman CYR" w:hAnsi="Times New Roman CYR" w:eastAsia="Times New Roman CYR"/>
                <w:sz w:val="22"/>
                <w:szCs w:val="24"/>
              </w:rPr>
            </w:pPr>
          </w:p>
        </w:tc>
      </w:tr>
      <w:tr w14:paraId="4BB1E5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AACA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за виданими авансами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3122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0883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4 572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E094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9 344</w:t>
            </w:r>
          </w:p>
        </w:tc>
      </w:tr>
      <w:tr w14:paraId="13E5CA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2A6A3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DC1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E59E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33DD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w:t>
            </w:r>
          </w:p>
        </w:tc>
      </w:tr>
      <w:tr w14:paraId="4955AA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B93C4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у тому числі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881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1136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6514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C4D5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5C04E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BCA34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 нарахованих доходів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DC1A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BBE5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33A4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D0CDA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8F137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із внутрішніх розрахунків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9DE8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5F13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8122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5C805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7B691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Інша 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ABFF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34AF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B518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470</w:t>
            </w:r>
          </w:p>
        </w:tc>
      </w:tr>
      <w:tr w14:paraId="4ACA4C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A6D79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Поточні фінансові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77A3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D5F5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4CAE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3EF9E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FBBDD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802C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9A68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5 573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A90B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3 120</w:t>
            </w:r>
          </w:p>
        </w:tc>
      </w:tr>
      <w:tr w14:paraId="21A078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A94C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Готівка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804E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F724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10E8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D89D8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93C82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Рахунки в банках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987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1167</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1C93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2071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942EF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34FB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майбутніх періодів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675E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E7A0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2985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w:t>
            </w:r>
          </w:p>
        </w:tc>
      </w:tr>
      <w:tr w14:paraId="609509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CF21D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перестраховика у страхових резервах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B5BD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75EC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DE83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7F0F5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600E2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 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78BD5">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69E298">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DAE0E9">
            <w:pPr>
              <w:spacing w:beforeLines="0" w:afterLines="0"/>
              <w:jc w:val="left"/>
              <w:rPr>
                <w:rFonts w:hint="default" w:ascii="Times New Roman CYR" w:hAnsi="Times New Roman CYR" w:eastAsia="Times New Roman CYR"/>
                <w:sz w:val="22"/>
                <w:szCs w:val="24"/>
              </w:rPr>
            </w:pPr>
          </w:p>
        </w:tc>
      </w:tr>
      <w:tr w14:paraId="451DD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684A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резервах довгострокових зобов’язань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E34D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38CC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047F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2CF10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28CB7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резервах збитків або резервах належних виплат</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C2FA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F8D0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D14B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20173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ED628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резервах незароблених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9B5B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6709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C5F4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56209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AE6C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інших страхових резервах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80A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1184</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9AB2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CEBE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58463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588B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DDDB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2317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D899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813</w:t>
            </w:r>
          </w:p>
        </w:tc>
      </w:tr>
      <w:tr w14:paraId="1DC9CC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3D7C6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7EF56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2298F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23 520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0C88E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32 691</w:t>
            </w:r>
          </w:p>
        </w:tc>
      </w:tr>
      <w:tr w14:paraId="761C51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7C8B3E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III. Необоротні активи, утримувані для продажу, та групи вибуття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A92EE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FE72D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E50E1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06998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3B65FF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1FEEB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2A7CD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53 417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C7C10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62 023</w:t>
            </w:r>
          </w:p>
        </w:tc>
      </w:tr>
    </w:tbl>
    <w:p w14:paraId="563A6B3D">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0CF41703">
        <w:tblPrEx>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EA8A8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89AAD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FB4A4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періоду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BC6B9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4B811B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B69A4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1F5D8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BEC06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4219D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48F990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9BA889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1C2180F">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F7F9A76">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8035B23">
            <w:pPr>
              <w:spacing w:beforeLines="0" w:afterLines="0"/>
              <w:jc w:val="center"/>
              <w:rPr>
                <w:rFonts w:hint="default" w:ascii="Times New Roman CYR" w:hAnsi="Times New Roman CYR" w:eastAsia="Times New Roman CYR"/>
                <w:sz w:val="22"/>
                <w:szCs w:val="24"/>
              </w:rPr>
            </w:pPr>
          </w:p>
        </w:tc>
      </w:tr>
      <w:tr w14:paraId="54D5F4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50B7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Зареєстрований (пайовий)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E2C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74A0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03D4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0F74BF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18AFB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Внески до незареєстрованого статутного капіталу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59BD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A76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C325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F1D62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8118B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 у дооцінках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F88D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27A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E084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B0A7E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432A4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B4DB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9BE1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2FB0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r>
      <w:tr w14:paraId="551A55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FE66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Емісійний дохід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DDFA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98DB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CA9F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ADF34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8A6E9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Накопичені курсові різниці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8BB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1412</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9EFC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4765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F5FC3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081F5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Резервний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D472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6B3F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35C6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r>
      <w:tr w14:paraId="2F5AC7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F6E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62E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DC22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46 989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03F3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52 033</w:t>
            </w:r>
          </w:p>
        </w:tc>
      </w:tr>
      <w:tr w14:paraId="7B381B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7DBFE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034C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90E5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8561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483CC9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E61A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Вилучений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21D9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FB09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BEB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21E259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0B2D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резерви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D56D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1435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74E6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FDF7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C57FB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11AA6C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A4375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59039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48 324</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23740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53 368</w:t>
            </w:r>
          </w:p>
        </w:tc>
      </w:tr>
      <w:tr w14:paraId="3B4DEA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872B0C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II. Довгострокові зобов’язання 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8578FAA">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9D39543">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055B039">
            <w:pPr>
              <w:spacing w:beforeLines="0" w:afterLines="0"/>
              <w:jc w:val="center"/>
              <w:rPr>
                <w:rFonts w:hint="default" w:ascii="Times New Roman CYR" w:hAnsi="Times New Roman CYR" w:eastAsia="Times New Roman CYR"/>
                <w:sz w:val="22"/>
                <w:szCs w:val="24"/>
              </w:rPr>
            </w:pPr>
          </w:p>
        </w:tc>
      </w:tr>
      <w:tr w14:paraId="5E6E2F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F398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податкові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DBF8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AD1C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AE9A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6682A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29D92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Пенсійні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83B6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9C59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43DB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9510C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D6379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4552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28DC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F0E1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AF7FF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6DA39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довгострокові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4BBD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AA5C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E668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B0307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3E6AD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8B11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B66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1 255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B8D2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1 746</w:t>
            </w:r>
          </w:p>
        </w:tc>
      </w:tr>
      <w:tr w14:paraId="4DA502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725D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забезпечення витрат персоналу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F8AC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DF3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1714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350BC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EDC21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Цільове фінансування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2D9A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0EAD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F0B4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24E59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BDC18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Благодійна допомога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BB13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1526</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4B61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6F7B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DF385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3935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Страхові резерви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A147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5770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B679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6DCBA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DC098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B66B78">
            <w:pPr>
              <w:spacing w:beforeLines="0" w:afterLines="0"/>
              <w:jc w:val="left"/>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F6E65F">
            <w:pPr>
              <w:spacing w:beforeLines="0" w:afterLines="0"/>
              <w:jc w:val="left"/>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F7302C">
            <w:pPr>
              <w:spacing w:beforeLines="0" w:afterLines="0"/>
              <w:jc w:val="left"/>
              <w:rPr>
                <w:rFonts w:hint="default" w:ascii="Times New Roman CYR" w:hAnsi="Times New Roman CYR" w:eastAsia="Times New Roman CYR"/>
                <w:sz w:val="22"/>
                <w:szCs w:val="24"/>
              </w:rPr>
            </w:pPr>
          </w:p>
        </w:tc>
      </w:tr>
      <w:tr w14:paraId="48B348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08DF8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 довгострокових зобов’язань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242A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DBD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B8C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F616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F1212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 збитків або резерв належних виплат</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6A2F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1532</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788E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15CE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D4FE0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9862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 незароблених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A349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1533</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A12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D1B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58988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E36F1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 страхові резерви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1BFF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1534</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B016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D9F1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D1DD7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1E640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Інвестиційні контракти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168E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0AD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99B5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CEDEB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71019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Призовий фонд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510A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1540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923A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E88E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76534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4C0F9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Резерв на виплату джек-поту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032D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1545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9141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D493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14001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12310E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1AE81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FB6F7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1 255</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12EFB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1 746</w:t>
            </w:r>
          </w:p>
        </w:tc>
      </w:tr>
      <w:tr w14:paraId="4F918B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E0C887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IІІ. Поточні зобов’язання 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01C73E8">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689E5A2">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4011EB6">
            <w:pPr>
              <w:spacing w:beforeLines="0" w:afterLines="0"/>
              <w:jc w:val="center"/>
              <w:rPr>
                <w:rFonts w:hint="default" w:ascii="Times New Roman CYR" w:hAnsi="Times New Roman CYR" w:eastAsia="Times New Roman CYR"/>
                <w:sz w:val="22"/>
                <w:szCs w:val="24"/>
              </w:rPr>
            </w:pPr>
          </w:p>
        </w:tc>
      </w:tr>
      <w:tr w14:paraId="49DD24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9CA3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8412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FA18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E410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A73D4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15F8B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Векселі видані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987F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CD5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8F5A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A5574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FD3B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CE710">
            <w:pPr>
              <w:spacing w:beforeLines="0" w:afterLines="0"/>
              <w:jc w:val="left"/>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4EF9B0">
            <w:pPr>
              <w:spacing w:beforeLines="0" w:afterLines="0"/>
              <w:jc w:val="left"/>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47135D">
            <w:pPr>
              <w:spacing w:beforeLines="0" w:afterLines="0"/>
              <w:jc w:val="left"/>
              <w:rPr>
                <w:rFonts w:hint="default" w:ascii="Times New Roman CYR" w:hAnsi="Times New Roman CYR" w:eastAsia="Times New Roman CYR"/>
                <w:sz w:val="22"/>
                <w:szCs w:val="24"/>
              </w:rPr>
            </w:pPr>
          </w:p>
        </w:tc>
      </w:tr>
      <w:tr w14:paraId="56F618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931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довгостроковими зобов’язаннями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11CD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6D32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AE46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3FEF1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1717B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266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952C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CA61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12205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43A5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74F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342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8CD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1 219</w:t>
            </w:r>
          </w:p>
        </w:tc>
      </w:tr>
      <w:tr w14:paraId="144ACB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AD3A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у тому числі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6C48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CEA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B8A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520</w:t>
            </w:r>
          </w:p>
        </w:tc>
      </w:tr>
      <w:tr w14:paraId="6C4E33A7">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49CC1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5663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CDAF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E16C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D4250A8">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B7024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5A76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5CF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928</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CD7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36</w:t>
            </w:r>
          </w:p>
        </w:tc>
      </w:tr>
      <w:tr w14:paraId="6D4B8317">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4E74C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одержаними авансами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ED8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33E0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1 694</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C1A4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3 747</w:t>
            </w:r>
          </w:p>
        </w:tc>
      </w:tr>
      <w:tr w14:paraId="3E778B41">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87F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учасниками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91DE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1640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FAA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7AF7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49480A7">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D2B5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із внутрішніх розрахунків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2A1E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1645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3E8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4A3C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30488BA">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2B47D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страховою діяльністю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83B2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1650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2EAF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E494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7237766">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6AC6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B7E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1660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C396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3EE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8F91790">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8D3FF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Доходи майбутніх періодів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AF48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1665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3484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40B5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6A396E0">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906D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комісійні доходи від перестраховиків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ED2E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1670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B69C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4966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ABD4365">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876DD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FEB1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B521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578</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BB18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1 907</w:t>
            </w:r>
          </w:p>
        </w:tc>
      </w:tr>
      <w:tr w14:paraId="33F17A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99BF09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IІІ</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480CE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4497F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3 838</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2C97A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6 909</w:t>
            </w:r>
          </w:p>
        </w:tc>
      </w:tr>
      <w:tr w14:paraId="410D5E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8758F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ІV. Зобов’язання, пов’язані з необоротними активами, утримуваними для продажу, та групами вибуття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1C080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1700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FBF34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7DD60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7C70C8C">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61FE0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Чиста вартість активів недержавного пенсійного фонду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ADC1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7F8A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35BD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4870F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DCD18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B03DA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D61C8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53 417</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A1489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62 023</w:t>
            </w:r>
          </w:p>
        </w:tc>
      </w:tr>
    </w:tbl>
    <w:p w14:paraId="0B7CDE97">
      <w:pPr>
        <w:spacing w:beforeLines="0" w:afterLines="0"/>
        <w:jc w:val="left"/>
        <w:rPr>
          <w:rFonts w:hint="default" w:ascii="Times New Roman CYR" w:hAnsi="Times New Roman CYR" w:eastAsia="Times New Roman CYR"/>
          <w:sz w:val="22"/>
          <w:szCs w:val="24"/>
        </w:rPr>
      </w:pPr>
    </w:p>
    <w:p w14:paraId="1EE0A62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Грозний Юрiй Володимирович</w:t>
      </w:r>
    </w:p>
    <w:p w14:paraId="1BF11FFA">
      <w:pPr>
        <w:spacing w:beforeLines="0" w:afterLines="0"/>
        <w:jc w:val="left"/>
        <w:rPr>
          <w:rFonts w:hint="default" w:ascii="Times New Roman CYR" w:hAnsi="Times New Roman CYR" w:eastAsia="Times New Roman CYR"/>
          <w:sz w:val="22"/>
          <w:szCs w:val="24"/>
        </w:rPr>
      </w:pPr>
    </w:p>
    <w:p w14:paraId="1DD070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0534456C">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66"/>
        <w:gridCol w:w="1654"/>
        <w:gridCol w:w="1720"/>
      </w:tblGrid>
      <w:tr w14:paraId="1346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280" w:type="dxa"/>
          <w:trHeight w:val="300" w:hRule="atLeast"/>
        </w:trPr>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6CA1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3DE5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26" w:type="dxa"/>
          <w:trHeight w:val="300" w:hRule="atLeast"/>
        </w:trPr>
        <w:tc>
          <w:tcPr>
            <w:tcW w:w="1654" w:type="dxa"/>
            <w:tcBorders>
              <w:top w:val="nil"/>
              <w:left w:val="nil"/>
              <w:bottom w:val="nil"/>
              <w:right w:val="single" w:color="auto" w:sz="6" w:space="0"/>
              <w:tl2br w:val="nil"/>
              <w:tr2bl w:val="nil"/>
            </w:tcBorders>
            <w:noWrap w:val="0"/>
            <w:vAlign w:val="center"/>
          </w:tcPr>
          <w:p w14:paraId="58075D70">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740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01.01.2022</w:t>
            </w:r>
          </w:p>
        </w:tc>
      </w:tr>
      <w:tr w14:paraId="0945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473AE7A7">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66" w:type="dxa"/>
            <w:tcBorders>
              <w:top w:val="nil"/>
              <w:left w:val="nil"/>
              <w:bottom w:val="nil"/>
              <w:right w:val="nil"/>
              <w:tl2br w:val="nil"/>
              <w:tr2bl w:val="nil"/>
            </w:tcBorders>
            <w:noWrap w:val="0"/>
            <w:vAlign w:val="center"/>
          </w:tcPr>
          <w:p w14:paraId="1240EBB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654" w:type="dxa"/>
            <w:tcBorders>
              <w:top w:val="nil"/>
              <w:left w:val="nil"/>
              <w:bottom w:val="nil"/>
              <w:right w:val="single" w:color="auto" w:sz="6" w:space="0"/>
              <w:tl2br w:val="nil"/>
              <w:tr2bl w:val="nil"/>
            </w:tcBorders>
            <w:noWrap w:val="0"/>
            <w:vAlign w:val="center"/>
          </w:tcPr>
          <w:p w14:paraId="7ECCD5AE">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65D3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bl>
    <w:p w14:paraId="1B56208D">
      <w:pPr>
        <w:spacing w:beforeLines="0" w:afterLines="0"/>
        <w:jc w:val="left"/>
        <w:rPr>
          <w:rFonts w:hint="default" w:ascii="Times New Roman CYR" w:hAnsi="Times New Roman CYR" w:eastAsia="Times New Roman CYR"/>
          <w:sz w:val="22"/>
          <w:szCs w:val="24"/>
        </w:rPr>
      </w:pPr>
    </w:p>
    <w:p w14:paraId="1D0360F9">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фінансові результати</w:t>
      </w:r>
    </w:p>
    <w:p w14:paraId="5B39CC49">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сукупний дохід)</w:t>
      </w:r>
    </w:p>
    <w:p w14:paraId="13F1E2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2021 рік</w:t>
      </w:r>
    </w:p>
    <w:p w14:paraId="790B4F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w:t>
      </w:r>
    </w:p>
    <w:p w14:paraId="11398E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 Фінансові результати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524"/>
        <w:gridCol w:w="1205"/>
        <w:gridCol w:w="296"/>
        <w:gridCol w:w="1349"/>
      </w:tblGrid>
      <w:tr w14:paraId="747CE1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150" w:type="dxa"/>
          <w:trHeight w:val="280" w:hRule="atLeast"/>
        </w:trPr>
        <w:tc>
          <w:tcPr>
            <w:tcW w:w="1501" w:type="dxa"/>
            <w:gridSpan w:val="2"/>
            <w:tcBorders>
              <w:top w:val="nil"/>
              <w:left w:val="nil"/>
              <w:bottom w:val="nil"/>
              <w:right w:val="single" w:color="auto" w:sz="6" w:space="0"/>
              <w:tl2br w:val="nil"/>
              <w:tr2bl w:val="nil"/>
            </w:tcBorders>
            <w:noWrap w:val="0"/>
            <w:vAlign w:val="center"/>
          </w:tcPr>
          <w:p w14:paraId="3362F932">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349" w:type="dxa"/>
            <w:tcBorders>
              <w:top w:val="single" w:color="auto" w:sz="6" w:space="0"/>
              <w:left w:val="single" w:color="auto" w:sz="6" w:space="0"/>
              <w:bottom w:val="single" w:color="auto" w:sz="6" w:space="0"/>
              <w:right w:val="single" w:color="auto" w:sz="6" w:space="0"/>
              <w:tl2br w:val="nil"/>
              <w:tr2bl w:val="nil"/>
            </w:tcBorders>
            <w:noWrap w:val="0"/>
            <w:vAlign w:val="top"/>
          </w:tcPr>
          <w:p w14:paraId="4E1D4D52">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1801003</w:t>
            </w:r>
          </w:p>
        </w:tc>
      </w:tr>
      <w:tr w14:paraId="7C6D72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7D1D8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F2089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FC2E0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002F9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7638FE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5C200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C4898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C0BD6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A406F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61FBE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334D8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0BBD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953A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76 505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FA4B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49 577</w:t>
            </w:r>
          </w:p>
        </w:tc>
      </w:tr>
      <w:tr w14:paraId="59444D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4ACF2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Чисті зароблені страхові премії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CB6B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6F4C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2E8B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06971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A6670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Премії підписані, валова сума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818E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3CE2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3E3C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AB7CE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3BE0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Премії, передані у перестрахування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77D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4696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580A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C6CFF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11DC5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резерву незароблених премій, валова сума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B54C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FD7E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441F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0493E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56E9B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частки перестраховиків у резерві незароблених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2595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2014</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E181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913E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69AE2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3095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D7D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054B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( 57 954 )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352C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( 37 076 )</w:t>
            </w:r>
          </w:p>
        </w:tc>
      </w:tr>
      <w:tr w14:paraId="5C68F3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5E75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Чисті понесені збитки за страховими виплатами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C46C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A183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F79F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8A095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43FE3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Валовий:</w:t>
            </w:r>
          </w:p>
          <w:p w14:paraId="1865BF4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2BB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2126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18 551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63A2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12 501</w:t>
            </w:r>
          </w:p>
        </w:tc>
      </w:tr>
      <w:tr w14:paraId="30087D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E1526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7F6C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0DBB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A5B7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D2299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FCA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(витрати) від зміни у резервах довгострокових зобов’язань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DCE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18F7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CB99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913D3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A069A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(витрати) від зміни інших страхових резервів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CBB2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F7CA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3674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48D1B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CB77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інших страхових резервів, валова сума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3A0F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6B69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9518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6F049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932F5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частки перестраховиків в інших страхових резервах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8848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0C12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CF17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AC6AF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66877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операційні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B5CB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4A01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2 616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F277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2 669</w:t>
            </w:r>
          </w:p>
        </w:tc>
      </w:tr>
      <w:tr w14:paraId="5BB161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8E4A7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зміни вартості активів, які оцінюються за справедливою вартістю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BB7D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A8F8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2615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ABB09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7F6E4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первісного визнання біологічних активів і сільськогосподарської продукції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9254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06EB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1FBB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70C57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32F6D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використання коштів, вивільнених від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5DD8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EB6A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69C1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99C80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CB294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Адміністративні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811D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DBB1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( 10 875 )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021A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( 8 475 )</w:t>
            </w:r>
          </w:p>
        </w:tc>
      </w:tr>
      <w:tr w14:paraId="3131FB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49FB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на збут</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D4E1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54B7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5686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( 56 )</w:t>
            </w:r>
          </w:p>
        </w:tc>
      </w:tr>
      <w:tr w14:paraId="08839F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522F5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операційні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3C82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D53A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( 3 115 )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2C7A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( 3 046 )</w:t>
            </w:r>
          </w:p>
        </w:tc>
      </w:tr>
      <w:tr w14:paraId="1AE5D5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C5E29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від зміни вартості активів, які оцінюються за справедливою вартістю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A5C9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2181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BF8C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95BC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18567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0952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від первісного визнання біологічних активів і сільськогосподарської продукції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76E8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2182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590E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A479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3288B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67A3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Фінансовий результат від операційної діяльності:</w:t>
            </w:r>
          </w:p>
          <w:p w14:paraId="58CAFDA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CF8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F6D2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7 177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58A2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3 593</w:t>
            </w:r>
          </w:p>
        </w:tc>
      </w:tr>
      <w:tr w14:paraId="4BC358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8976C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0D1A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5D5E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9898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67B27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437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участі в капіталі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F9BA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E516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758E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A7235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A64BA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фінансові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ADC2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107D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C83F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173</w:t>
            </w:r>
          </w:p>
        </w:tc>
      </w:tr>
      <w:tr w14:paraId="2D0AA7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5D0D4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78DD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E89C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6C94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w:t>
            </w:r>
          </w:p>
        </w:tc>
      </w:tr>
      <w:tr w14:paraId="55D3CB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87CD0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благодійної допомоги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1316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2241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7A96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1104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5390E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91B5B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C82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7478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0276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68F64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40941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Втрати від участі в капіталі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B8E2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0A10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808B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24457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099DD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654F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334A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C2AA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05D88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205A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Прибуток (збиток) від впливу інфляції на монетарні статті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9B9F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2275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FB00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572F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BB577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7482C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Фінансовий результат до оподаткування:</w:t>
            </w:r>
          </w:p>
          <w:p w14:paraId="50855F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C8C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AD1C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7 305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DFDC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3 796</w:t>
            </w:r>
          </w:p>
        </w:tc>
      </w:tr>
      <w:tr w14:paraId="0466D0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7314F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717E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9200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AB57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09FDBA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1770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(дохід)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59A2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91EC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-1 434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F3B1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-889</w:t>
            </w:r>
          </w:p>
        </w:tc>
      </w:tr>
      <w:tr w14:paraId="4DDDF5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8EC4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Прибуток (збиток) від припиненої діяльності після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B841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AAFA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E470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75577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93DA9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фінансовий результат:</w:t>
            </w:r>
          </w:p>
          <w:p w14:paraId="282B1DD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C67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4CE9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5 871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BD21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2 907</w:t>
            </w:r>
          </w:p>
        </w:tc>
      </w:tr>
      <w:tr w14:paraId="369496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F80CB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0119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5ED2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FF92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( 0 )</w:t>
            </w:r>
          </w:p>
        </w:tc>
      </w:tr>
    </w:tbl>
    <w:p w14:paraId="5758FA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II. Сукупний дохід</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0923BD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2E526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057FF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0A1BE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9BFA1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7116A5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41893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C0B08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DC568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AB04B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7B2142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4504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Дооцінка (уцінка) необоротних активів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129E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37DA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5A85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993CC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87AF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Дооцінка (уцінка) фінансових інструментів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7D6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7210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187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41583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E1A6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Накопичені курсові різниці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07C2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76B8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197D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BDA8A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11270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іншого сукупного доходу асоційованих та спільних підприємств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7033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DFBE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B035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69F9B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28AF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Інший сукупний дохід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209C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2445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0C0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75E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4C968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5F22B3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Інший сукупний дохід до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66EF1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2450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C3A19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A3F23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C7651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9B3B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 пов’язаний з іншим сукупним доходом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D49D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2455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107D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632B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46F43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331CF6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Інший сукупний дохід після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A7E6D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2460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9C157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3179A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0649D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B66363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Сукупний дохід (сума рядків 2350, 2355 та 2460)</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B5A6B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2465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1D2F0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5 871</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C819B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2 907</w:t>
            </w:r>
          </w:p>
        </w:tc>
      </w:tr>
    </w:tbl>
    <w:p w14:paraId="28A1F1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III. Елементи операційних витрат</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43C1F8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5FB47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статті</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E594A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7A7C3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B5CB5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1B567C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FA178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31E15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D9741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3D3DE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1EA32D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1DC79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Матеріальні затрати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EC50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9029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34 770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062D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20 739</w:t>
            </w:r>
          </w:p>
        </w:tc>
      </w:tr>
      <w:tr w14:paraId="517010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2DB1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на оплату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ADC0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D616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26 527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99A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19 962</w:t>
            </w:r>
          </w:p>
        </w:tc>
      </w:tr>
      <w:tr w14:paraId="324988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0B56F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Відрахування на соціальні заходи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CF3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071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5 726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E1F4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4 392</w:t>
            </w:r>
          </w:p>
        </w:tc>
      </w:tr>
      <w:tr w14:paraId="414752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DD2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Амортизація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C26A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DBB6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1 486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10B6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1 349</w:t>
            </w:r>
          </w:p>
        </w:tc>
      </w:tr>
      <w:tr w14:paraId="36EACE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AD569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операційні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1A3E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FBD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3 435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D62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2 211</w:t>
            </w:r>
          </w:p>
        </w:tc>
      </w:tr>
      <w:tr w14:paraId="1677CD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2A0C0E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Разом</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8D28F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2550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C0B14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71 944</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066A8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48 653</w:t>
            </w:r>
          </w:p>
        </w:tc>
      </w:tr>
    </w:tbl>
    <w:p w14:paraId="62E220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ІV. Розрахунок показників прибутковості акцій</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66B3D8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F9BB4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статті</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FA728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B89B5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3F57E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78C98B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6C9C2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B3C7A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9A94D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98D2A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4BFEBE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A6542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Середньорічна кількість простих акцій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04C7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3040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AF7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C0FCB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601E0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Скоригована середньорічна кількість простих акцій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E28A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2A13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5AA1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08EB2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29E2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прибуток (збиток) на одну просту акцію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45A1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C9B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7DA9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r>
      <w:tr w14:paraId="5DE869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2993A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чистий прибуток (збиток) на одну просту акцію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462D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E173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79E9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r>
      <w:tr w14:paraId="26C635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0BEE6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Дивіденди на одну просту акцію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9790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2650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3563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16DC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w:t>
            </w:r>
          </w:p>
        </w:tc>
      </w:tr>
    </w:tbl>
    <w:p w14:paraId="40FF274C">
      <w:pPr>
        <w:spacing w:beforeLines="0" w:afterLines="0"/>
        <w:jc w:val="left"/>
        <w:rPr>
          <w:rFonts w:hint="default" w:ascii="Times New Roman CYR" w:hAnsi="Times New Roman CYR" w:eastAsia="Times New Roman CYR"/>
          <w:sz w:val="22"/>
          <w:szCs w:val="24"/>
        </w:rPr>
      </w:pPr>
    </w:p>
    <w:p w14:paraId="0B4B2E3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Грозний Юрiй Володимирович</w:t>
      </w:r>
    </w:p>
    <w:p w14:paraId="61849699">
      <w:pPr>
        <w:spacing w:beforeLines="0" w:afterLines="0"/>
        <w:jc w:val="left"/>
        <w:rPr>
          <w:rFonts w:hint="default" w:ascii="Times New Roman CYR" w:hAnsi="Times New Roman CYR" w:eastAsia="Times New Roman CYR"/>
          <w:sz w:val="22"/>
          <w:szCs w:val="24"/>
        </w:rPr>
      </w:pPr>
    </w:p>
    <w:p w14:paraId="4B443B1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22441732">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51E2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00"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431F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4C97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00" w:hRule="atLeast"/>
        </w:trPr>
        <w:tc>
          <w:tcPr>
            <w:tcW w:w="1990" w:type="dxa"/>
            <w:tcBorders>
              <w:top w:val="nil"/>
              <w:left w:val="nil"/>
              <w:bottom w:val="nil"/>
              <w:right w:val="single" w:color="auto" w:sz="6" w:space="0"/>
              <w:tl2br w:val="nil"/>
              <w:tr2bl w:val="nil"/>
            </w:tcBorders>
            <w:noWrap w:val="0"/>
            <w:vAlign w:val="center"/>
          </w:tcPr>
          <w:p w14:paraId="342E5DA4">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2AC3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01.01.2022</w:t>
            </w:r>
          </w:p>
        </w:tc>
      </w:tr>
      <w:tr w14:paraId="4608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668F9BEC">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tcBorders>
              <w:top w:val="nil"/>
              <w:left w:val="nil"/>
              <w:bottom w:val="nil"/>
              <w:right w:val="nil"/>
              <w:tl2br w:val="nil"/>
              <w:tr2bl w:val="nil"/>
            </w:tcBorders>
            <w:noWrap w:val="0"/>
            <w:vAlign w:val="top"/>
          </w:tcPr>
          <w:p w14:paraId="7A64428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990" w:type="dxa"/>
            <w:tcBorders>
              <w:top w:val="nil"/>
              <w:left w:val="nil"/>
              <w:bottom w:val="nil"/>
              <w:right w:val="single" w:color="auto" w:sz="6" w:space="0"/>
              <w:tl2br w:val="nil"/>
              <w:tr2bl w:val="nil"/>
            </w:tcBorders>
            <w:noWrap w:val="0"/>
            <w:vAlign w:val="center"/>
          </w:tcPr>
          <w:p w14:paraId="104D7184">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080B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bl>
    <w:p w14:paraId="623ED6F1">
      <w:pPr>
        <w:spacing w:beforeLines="0" w:afterLines="0"/>
        <w:jc w:val="left"/>
        <w:rPr>
          <w:rFonts w:hint="default" w:ascii="Times New Roman CYR" w:hAnsi="Times New Roman CYR" w:eastAsia="Times New Roman CYR"/>
          <w:sz w:val="22"/>
          <w:szCs w:val="24"/>
        </w:rPr>
      </w:pPr>
    </w:p>
    <w:p w14:paraId="38F9D221">
      <w:pPr>
        <w:spacing w:beforeLines="0" w:afterLines="0"/>
        <w:jc w:val="left"/>
        <w:rPr>
          <w:rFonts w:hint="default" w:ascii="Times New Roman CYR" w:hAnsi="Times New Roman CYR" w:eastAsia="Times New Roman CYR"/>
          <w:sz w:val="22"/>
          <w:szCs w:val="24"/>
        </w:rPr>
      </w:pPr>
    </w:p>
    <w:p w14:paraId="651DACB0">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рух грошових коштів (за прямим методом)</w:t>
      </w:r>
    </w:p>
    <w:p w14:paraId="306A36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2021 рік</w:t>
      </w:r>
    </w:p>
    <w:p w14:paraId="5A38CE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№3</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33E652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20622854">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F5D86D">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1801004</w:t>
            </w:r>
          </w:p>
        </w:tc>
      </w:tr>
      <w:tr w14:paraId="365FCE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F949F85">
            <w:pPr>
              <w:spacing w:beforeLines="0" w:afterLines="0"/>
              <w:jc w:val="right"/>
              <w:rPr>
                <w:rFonts w:hint="default" w:ascii="Times New Roman CYR" w:hAnsi="Times New Roman CYR" w:eastAsia="Times New Roman CYR"/>
                <w:sz w:val="22"/>
                <w:szCs w:val="24"/>
              </w:rPr>
            </w:pPr>
          </w:p>
          <w:p w14:paraId="6E3D10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BF711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94C59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9FBE2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27931D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7C8C5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DF721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F83DE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48777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A66DA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509D3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Рух коштів у результаті операційної діяльності</w:t>
            </w:r>
          </w:p>
          <w:p w14:paraId="46518EA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5D7920">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600B53">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9C1904">
            <w:pPr>
              <w:spacing w:beforeLines="0" w:afterLines="0"/>
              <w:jc w:val="left"/>
              <w:rPr>
                <w:rFonts w:hint="default" w:ascii="Times New Roman CYR" w:hAnsi="Times New Roman CYR" w:eastAsia="Times New Roman CYR"/>
                <w:sz w:val="22"/>
                <w:szCs w:val="24"/>
              </w:rPr>
            </w:pPr>
          </w:p>
        </w:tc>
      </w:tr>
      <w:tr w14:paraId="0935569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40A23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D6D8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A18D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91 991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6B74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59 390</w:t>
            </w:r>
          </w:p>
        </w:tc>
      </w:tr>
      <w:tr w14:paraId="6A4E59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84508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Повернення податків і зборів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E45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81B1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4C8C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42971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6F980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у тому числі податку на додану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C0D4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3006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551D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E7A5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7911A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002D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Цільового фінансування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AEC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399D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54E9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272</w:t>
            </w:r>
          </w:p>
        </w:tc>
      </w:tr>
      <w:tr w14:paraId="24B22C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2CA8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отримання субсидій, дотацій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F786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E336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5E02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71B1C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BCC0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авансів від покупців і замовників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161B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E613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7265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2AA2D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6E9C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повернення авансів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29E5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E495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B08D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41974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98A4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відсотків за залишками коштів на поточних рахунках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3B39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3025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76BA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ECAD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0CCBA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1603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боржників неустойки (штрафів, пені)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76EE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F3A8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E8C3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A4698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0C65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операційної оренди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788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DA43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1 378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CD37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1 620</w:t>
            </w:r>
          </w:p>
        </w:tc>
      </w:tr>
      <w:tr w14:paraId="4F468D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C01B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Надходження від отримання роялті, авторських винагород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700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02FA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FD01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3C30E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AEC46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страхових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802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AB41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2D66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527E2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76DA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фінансових установ від повернення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68B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84D3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9006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32ACE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0A789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надходження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D64E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1140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FB32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4B3BA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BAC1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Витрачання на оплату: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6A9F1C">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CD198B">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BF73CE">
            <w:pPr>
              <w:spacing w:beforeLines="0" w:afterLines="0"/>
              <w:jc w:val="left"/>
              <w:rPr>
                <w:rFonts w:hint="default" w:ascii="Times New Roman CYR" w:hAnsi="Times New Roman CYR" w:eastAsia="Times New Roman CYR"/>
                <w:sz w:val="22"/>
                <w:szCs w:val="24"/>
              </w:rPr>
            </w:pPr>
          </w:p>
        </w:tc>
      </w:tr>
      <w:tr w14:paraId="66A210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AE9B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75B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6870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( 50 460 )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4FED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( 27 816 )</w:t>
            </w:r>
          </w:p>
        </w:tc>
      </w:tr>
      <w:tr w14:paraId="7045B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7A446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821F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7543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( 21 178 )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FF6A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( 14 807 )</w:t>
            </w:r>
          </w:p>
        </w:tc>
      </w:tr>
      <w:tr w14:paraId="14862B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B4464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Відрахувань на соціальні заходи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188E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5628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( 5 923 )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1FCF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( 4 373 )</w:t>
            </w:r>
          </w:p>
        </w:tc>
      </w:tr>
      <w:tr w14:paraId="7AF45B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72976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Зобов'язань з податків і зборів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8BFE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55B0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( 13 708 )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3363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( 10 721 )</w:t>
            </w:r>
          </w:p>
        </w:tc>
      </w:tr>
      <w:tr w14:paraId="51DADF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4C26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35A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D226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( 6 411 )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95C4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( 5 488 )</w:t>
            </w:r>
          </w:p>
        </w:tc>
      </w:tr>
      <w:tr w14:paraId="613DF3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BA512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 податку на додану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9E56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3117</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4BE8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( 6 411 )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9A7D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( 5 488 )</w:t>
            </w:r>
          </w:p>
        </w:tc>
      </w:tr>
      <w:tr w14:paraId="19CA04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165EF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 інших податків і зборів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C2B3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3118</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7C96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( 6 117 )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49D8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( 4 490 )</w:t>
            </w:r>
          </w:p>
        </w:tc>
      </w:tr>
      <w:tr w14:paraId="089BB2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FD127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авансів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D403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968C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5B7D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75626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D9DAD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повернення авансів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5D40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9DF4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( 44 )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B165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( 9 )</w:t>
            </w:r>
          </w:p>
        </w:tc>
      </w:tr>
      <w:tr w14:paraId="559E09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8C1E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цільових внесків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F0DC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7A95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EDF4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492AEC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B16DC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за страховими контрактами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8593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CC2C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0D44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DCA60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0A299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фінансових установ на надання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10F7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726E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B417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DD4E1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C2F14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витрачання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CD03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1594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( 555 )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49C9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( 604 )</w:t>
            </w:r>
          </w:p>
        </w:tc>
      </w:tr>
      <w:tr w14:paraId="28A62E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AE608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від операційної діяльності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AC9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D901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2 173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637F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2 952</w:t>
            </w:r>
          </w:p>
        </w:tc>
      </w:tr>
      <w:tr w14:paraId="691C0F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F456E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Рух коштів у результаті інвестиційної діяльності</w:t>
            </w:r>
          </w:p>
          <w:p w14:paraId="7C466B4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реалізації: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402A2">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94EAA4">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C74E01">
            <w:pPr>
              <w:spacing w:beforeLines="0" w:afterLines="0"/>
              <w:jc w:val="left"/>
              <w:rPr>
                <w:rFonts w:hint="default" w:ascii="Times New Roman CYR" w:hAnsi="Times New Roman CYR" w:eastAsia="Times New Roman CYR"/>
                <w:sz w:val="22"/>
                <w:szCs w:val="24"/>
              </w:rPr>
            </w:pPr>
          </w:p>
        </w:tc>
      </w:tr>
      <w:tr w14:paraId="759DDA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85FEF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фінансових інвестицій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8AB7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A47C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A31B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8130B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95DDE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необоротних активів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B9EA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F831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2520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CF5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859F1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отриманих: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8FEC10">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83BBC9">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04D174">
            <w:pPr>
              <w:spacing w:beforeLines="0" w:afterLines="0"/>
              <w:jc w:val="left"/>
              <w:rPr>
                <w:rFonts w:hint="default" w:ascii="Times New Roman CYR" w:hAnsi="Times New Roman CYR" w:eastAsia="Times New Roman CYR"/>
                <w:sz w:val="22"/>
                <w:szCs w:val="24"/>
              </w:rPr>
            </w:pPr>
          </w:p>
        </w:tc>
      </w:tr>
      <w:tr w14:paraId="4B683B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44E9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відсотків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0F06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F9F9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4995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7EA65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FB2F3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дивідендів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4288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70D4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58E2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B1486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5839C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деривативів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D569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3225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C39E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86BB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C415F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D56B4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погашення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3D44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2DA9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AB5E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w:t>
            </w:r>
          </w:p>
        </w:tc>
      </w:tr>
      <w:tr w14:paraId="2C8E02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AE58A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вибуття дочірнього підприємства та іншої господарської одиниці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3D57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31DE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35E9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62EEE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7CAD2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надходження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D032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8E02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0B1F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85B0B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B2760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придбання: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47D273">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30005B">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0C88EE">
            <w:pPr>
              <w:spacing w:beforeLines="0" w:afterLines="0"/>
              <w:jc w:val="left"/>
              <w:rPr>
                <w:rFonts w:hint="default" w:ascii="Times New Roman CYR" w:hAnsi="Times New Roman CYR" w:eastAsia="Times New Roman CYR"/>
                <w:sz w:val="22"/>
                <w:szCs w:val="24"/>
              </w:rPr>
            </w:pPr>
          </w:p>
        </w:tc>
      </w:tr>
      <w:tr w14:paraId="304C1C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9424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фінансових інвестицій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40E1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79A4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DB8B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23E2D1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4692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необоротних активів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D09A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2F27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( 4 326 )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C97C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( 931 )</w:t>
            </w:r>
          </w:p>
        </w:tc>
      </w:tr>
      <w:tr w14:paraId="38E06F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17F3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Виплати за деривативами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DA08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04C0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C7FB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E860F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D6E4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надання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9163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3275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5844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( 94 )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0B81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( 52 )</w:t>
            </w:r>
          </w:p>
        </w:tc>
      </w:tr>
      <w:tr w14:paraId="1A3039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0F35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придбання дочірнього підприємства та іншої господарської одиниці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D336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A44D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B6CB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D5D35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B1B21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платежі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B7F1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AA61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F22E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20947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54B53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від інвестиційної діяльності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4716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8C96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-4 377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1BE6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-941</w:t>
            </w:r>
          </w:p>
        </w:tc>
      </w:tr>
      <w:tr w14:paraId="7534FE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C8C7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Рух коштів у результаті фінансової діяльності</w:t>
            </w:r>
          </w:p>
          <w:p w14:paraId="41E1831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49E431">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8CA78A">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A847F0">
            <w:pPr>
              <w:spacing w:beforeLines="0" w:afterLines="0"/>
              <w:jc w:val="left"/>
              <w:rPr>
                <w:rFonts w:hint="default" w:ascii="Times New Roman CYR" w:hAnsi="Times New Roman CYR" w:eastAsia="Times New Roman CYR"/>
                <w:sz w:val="22"/>
                <w:szCs w:val="24"/>
              </w:rPr>
            </w:pPr>
          </w:p>
        </w:tc>
      </w:tr>
      <w:tr w14:paraId="3A5954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3D0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Власного капіталу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37B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8D5D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1E25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BF218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FA6E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Отримання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BA6B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5502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3FB4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DD285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FA8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продажу частки в дочірньому підприємстві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9DEC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AB9C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56BB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F52CF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B5303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надходження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F9E1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EE86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2D87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173</w:t>
            </w:r>
          </w:p>
        </w:tc>
      </w:tr>
      <w:tr w14:paraId="16AC3B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DE05E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1EF69D">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9D3A69">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C9B647">
            <w:pPr>
              <w:spacing w:beforeLines="0" w:afterLines="0"/>
              <w:jc w:val="left"/>
              <w:rPr>
                <w:rFonts w:hint="default" w:ascii="Times New Roman CYR" w:hAnsi="Times New Roman CYR" w:eastAsia="Times New Roman CYR"/>
                <w:sz w:val="22"/>
                <w:szCs w:val="24"/>
              </w:rPr>
            </w:pPr>
          </w:p>
        </w:tc>
      </w:tr>
      <w:tr w14:paraId="304033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B5B1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Викуп власних акцій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FEEB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16A5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AF1A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9CDFD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0B9A2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Погашення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71CE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80E4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BC06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434C9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20F5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Сплату дивідендів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C645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29A2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( 352 )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3F6C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( 427 )</w:t>
            </w:r>
          </w:p>
        </w:tc>
      </w:tr>
      <w:tr w14:paraId="0D4C28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0317E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сплату відсотків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B71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9F39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537F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20141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5AD23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сплату заборгованості з фінансової оренди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B5B6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4E67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A07C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6A053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BA3D0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придбання частки в дочірньому підприємстві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93BE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61E2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7C5D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527D3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F74A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виплати неконтрольованим часткам у дочірніх підприємствах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C91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3375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623D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AD58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A4260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5FC5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платежі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391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14E5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B1FC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6857C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FE95A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від фінансової діяльності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11F5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72C8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054B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-254</w:t>
            </w:r>
          </w:p>
        </w:tc>
      </w:tr>
      <w:tr w14:paraId="246FB4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7A2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за звітний період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B0C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932D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-2 453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7AD0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1 757</w:t>
            </w:r>
          </w:p>
        </w:tc>
      </w:tr>
      <w:tr w14:paraId="0C308F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C256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Залишок коштів на початок року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95AC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7CF3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5 573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49D0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3 816</w:t>
            </w:r>
          </w:p>
        </w:tc>
      </w:tr>
      <w:tr w14:paraId="5AE25F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F3E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Вплив зміни валютних курсів на залишок коштів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61EA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E3C1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E9FF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313EF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89518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Залишок коштів на кінець року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1C86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C339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3 120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77EA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5 573</w:t>
            </w:r>
          </w:p>
        </w:tc>
      </w:tr>
    </w:tbl>
    <w:p w14:paraId="7BBE690B">
      <w:pPr>
        <w:spacing w:beforeLines="0" w:afterLines="0"/>
        <w:jc w:val="left"/>
        <w:rPr>
          <w:rFonts w:hint="default" w:ascii="Times New Roman CYR" w:hAnsi="Times New Roman CYR" w:eastAsia="Times New Roman CYR"/>
          <w:sz w:val="22"/>
          <w:szCs w:val="24"/>
        </w:rPr>
      </w:pPr>
    </w:p>
    <w:p w14:paraId="57B3A64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Грозний Юрiй Володимирович</w:t>
      </w:r>
    </w:p>
    <w:p w14:paraId="35BA1F13">
      <w:pPr>
        <w:spacing w:beforeLines="0" w:afterLines="0"/>
        <w:jc w:val="left"/>
        <w:rPr>
          <w:rFonts w:hint="default" w:ascii="Times New Roman CYR" w:hAnsi="Times New Roman CYR" w:eastAsia="Times New Roman CYR"/>
          <w:sz w:val="22"/>
          <w:szCs w:val="24"/>
        </w:rPr>
      </w:pPr>
    </w:p>
    <w:p w14:paraId="35DD323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5EBA05CC">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3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40"/>
        <w:gridCol w:w="5500"/>
        <w:gridCol w:w="1800"/>
        <w:gridCol w:w="2000"/>
      </w:tblGrid>
      <w:tr w14:paraId="495C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9540" w:type="dxa"/>
          <w:trHeight w:val="298"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8FCF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1B22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7740" w:type="dxa"/>
          <w:trHeight w:val="298" w:hRule="atLeast"/>
        </w:trPr>
        <w:tc>
          <w:tcPr>
            <w:tcW w:w="1800" w:type="dxa"/>
            <w:tcBorders>
              <w:top w:val="nil"/>
              <w:left w:val="nil"/>
              <w:bottom w:val="nil"/>
              <w:right w:val="single" w:color="auto" w:sz="6" w:space="0"/>
              <w:tl2br w:val="nil"/>
              <w:tr2bl w:val="nil"/>
            </w:tcBorders>
            <w:noWrap w:val="0"/>
            <w:vAlign w:val="center"/>
          </w:tcPr>
          <w:p w14:paraId="48CBD49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D3B4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01.01.2022</w:t>
            </w:r>
          </w:p>
        </w:tc>
      </w:tr>
      <w:tr w14:paraId="4AD6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op w:val="nil"/>
              <w:left w:val="nil"/>
              <w:bottom w:val="nil"/>
              <w:right w:val="nil"/>
              <w:tl2br w:val="nil"/>
              <w:tr2bl w:val="nil"/>
            </w:tcBorders>
            <w:noWrap w:val="0"/>
            <w:vAlign w:val="center"/>
          </w:tcPr>
          <w:p w14:paraId="14C6419D">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5500" w:type="dxa"/>
            <w:tcBorders>
              <w:top w:val="nil"/>
              <w:left w:val="nil"/>
              <w:bottom w:val="nil"/>
              <w:right w:val="nil"/>
              <w:tl2br w:val="nil"/>
              <w:tr2bl w:val="nil"/>
            </w:tcBorders>
            <w:noWrap w:val="0"/>
            <w:vAlign w:val="top"/>
          </w:tcPr>
          <w:p w14:paraId="2A5B19A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800" w:type="dxa"/>
            <w:tcBorders>
              <w:top w:val="nil"/>
              <w:left w:val="nil"/>
              <w:bottom w:val="nil"/>
              <w:right w:val="single" w:color="auto" w:sz="6" w:space="0"/>
              <w:tl2br w:val="nil"/>
              <w:tr2bl w:val="nil"/>
            </w:tcBorders>
            <w:noWrap w:val="0"/>
            <w:vAlign w:val="center"/>
          </w:tcPr>
          <w:p w14:paraId="3D0E2716">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56BF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bl>
    <w:p w14:paraId="7813DCD1">
      <w:pPr>
        <w:spacing w:beforeLines="0" w:afterLines="0"/>
        <w:jc w:val="left"/>
        <w:rPr>
          <w:rFonts w:hint="default" w:ascii="Times New Roman CYR" w:hAnsi="Times New Roman CYR" w:eastAsia="Times New Roman CYR"/>
          <w:sz w:val="24"/>
          <w:szCs w:val="24"/>
        </w:rPr>
      </w:pPr>
    </w:p>
    <w:p w14:paraId="74F4369A">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власний капітал</w:t>
      </w:r>
    </w:p>
    <w:p w14:paraId="0D0F8F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2021 рік</w:t>
      </w:r>
    </w:p>
    <w:p w14:paraId="586F53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№4</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50"/>
        <w:gridCol w:w="1250"/>
        <w:gridCol w:w="1100"/>
        <w:gridCol w:w="1350"/>
        <w:gridCol w:w="1300"/>
        <w:gridCol w:w="1200"/>
        <w:gridCol w:w="1300"/>
        <w:gridCol w:w="950"/>
        <w:gridCol w:w="550"/>
        <w:gridCol w:w="1250"/>
        <w:gridCol w:w="50"/>
        <w:gridCol w:w="1250"/>
      </w:tblGrid>
      <w:tr w14:paraId="5FCD9F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8"/>
          <w:wBefore w:w="11500" w:type="dxa"/>
          <w:trHeight w:val="280" w:hRule="atLeast"/>
        </w:trPr>
        <w:tc>
          <w:tcPr>
            <w:tcW w:w="1800" w:type="dxa"/>
            <w:gridSpan w:val="2"/>
            <w:tcBorders>
              <w:top w:val="nil"/>
              <w:left w:val="nil"/>
              <w:bottom w:val="nil"/>
              <w:right w:val="single" w:color="auto" w:sz="6" w:space="0"/>
              <w:tl2br w:val="nil"/>
              <w:tr2bl w:val="nil"/>
            </w:tcBorders>
            <w:noWrap w:val="0"/>
            <w:vAlign w:val="center"/>
          </w:tcPr>
          <w:p w14:paraId="0CA40E8E">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572FB3">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1801005</w:t>
            </w:r>
          </w:p>
        </w:tc>
      </w:tr>
      <w:tr w14:paraId="718F95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0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76429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A8CD9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1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E6F41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Зареєстрований капітал</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B7FBF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 у дооцінках</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80792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Додатковий капітал</w:t>
            </w:r>
          </w:p>
        </w:tc>
        <w:tc>
          <w:tcPr>
            <w:tcW w:w="12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D332F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Резервний капітал</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0A9D9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15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61332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13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30D05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Вилучений капітал</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CFB0E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Всього</w:t>
            </w:r>
          </w:p>
        </w:tc>
      </w:tr>
      <w:tr w14:paraId="2C5C92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6DED8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222E4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1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C4F95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03DB1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6E8CB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2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828A9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D3F1B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5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0DCCE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3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AFE6C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4BC2F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6D28E2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1E5DBC">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Залишок на початок року</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E9034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6C42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5AAB6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F921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2665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037A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46 989</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36A69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C4781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9358A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48 324</w:t>
            </w:r>
          </w:p>
        </w:tc>
      </w:tr>
      <w:tr w14:paraId="32A96B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74AD1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Коригування:</w:t>
            </w:r>
          </w:p>
          <w:p w14:paraId="431EF8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облікової політики</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A0796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3159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41EDC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ED56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0EFF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9926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B6E32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BE194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43CD0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E83B4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076A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Виправлення помилок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D64CD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4010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980B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B40A3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F9EA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6966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B9C3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A6F51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57805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ADBDC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D0404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E51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Інші зміни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B0A8E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4090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ECD8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70219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55D4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E820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DB12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2C6B9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A020F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62CD7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62292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50065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Скоригований залишок на початок року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C6C8B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4095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602B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13865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1BFB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9554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D028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46 989</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20F0E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CAC11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A4898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48 324</w:t>
            </w:r>
          </w:p>
        </w:tc>
      </w:tr>
      <w:tr w14:paraId="0560E1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79BF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за звітний період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2C41C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1352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1A438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B6AD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D5F0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1568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5 871</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6EF07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B5F3A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B10C0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5 871</w:t>
            </w:r>
          </w:p>
        </w:tc>
      </w:tr>
      <w:tr w14:paraId="5FE6DD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0FED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Інший сукупний дохід за звітний період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2E547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9FA6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4A9F9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8DCA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7639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D0AA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F36EF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CCBB8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7BD9A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A7628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DF94A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Дооцінка (уцінка) необоротних активів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137AC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DD76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2184F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1F35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745A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2518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6003A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89DD8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002DA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9D8B6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0CEF5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Дооцінка (уцінка) фінансових інструментів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C6118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4112</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3AE4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18FBF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E459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3E26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BF7A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7C1D8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8B767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B668D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DC1BA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C001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Накопичені курсові різниці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D07E2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0C3A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19728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38B3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6D73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E3E8B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07B5A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BD942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1DE5E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AF3D8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86578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Частка іншого сукупного доходу асоційованих і спільних підприємств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70A21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4114</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C942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14553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37DD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E6D9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F375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ACFF2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3EC59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E4780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75B82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6F26F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Інший сукупний дохід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57B8A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4116</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AC5B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83291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3A5E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F379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A9D6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14B2D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131AD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F7408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89E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D942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Розподіл прибутку: </w:t>
            </w:r>
          </w:p>
          <w:p w14:paraId="7BD8D20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Виплати власникам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F2C37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BE74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507E5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FBAB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5C1C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9393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B7BC3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16D7B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F2115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-380</w:t>
            </w:r>
          </w:p>
        </w:tc>
      </w:tr>
      <w:tr w14:paraId="4FA865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6050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Спрямування прибутку до зареєстрованого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D1601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4205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510D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9B691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8491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D6AD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BB16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55E3F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1599F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A8201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79F4E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D681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Відрахування до резервного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97A37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4210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E780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88E33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EA51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1FC9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09BD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22FC6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77319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3EADD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899B4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0C65A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Сума чистого прибутку, належна до бюджету відповідно до законодавства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8BA8C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4215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A7D2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F2FE8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BCD4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50B7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EE6A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69E14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2D651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9E34C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2DFDF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B2EB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Сума чистого прибутку на створення спеціальних (цільових) фондів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0CFAF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4220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E682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7D778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1B05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15DB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4B8A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7038C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F5112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07654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8636C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6558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Сума чистого прибутку на матеріальне заохочення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CBB85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4225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8825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48487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2A2B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259F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E5DC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4D003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CC8DD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FFA23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15677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E7F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Внески учасників: </w:t>
            </w:r>
          </w:p>
          <w:p w14:paraId="5533FF9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Внески до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7CCC3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4240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07B1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AB94C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F2EF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84B0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E6CC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FD35D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151B0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5CE5E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C33D6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1C6C1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Погашення заборгованості з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66FC7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4245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7C3A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EB4EE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F481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162D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B3A5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58925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1F96B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FB359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D7FDB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4B632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Вилучення капіталу: </w:t>
            </w:r>
          </w:p>
          <w:p w14:paraId="53C9113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Викуп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1FA2C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4260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A9A0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F2AEA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FA6C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475F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93A7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EA1F5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148AE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C99A5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089240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F00D6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Перепродаж викуплених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4821F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4265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1ACB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76BC3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CEBA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67A0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0C32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948A9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26D82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C430B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AB0C8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E0DC3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Анулювання викуплених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31057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4270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1B65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3A9C2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AB34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D26B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18B8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BE228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DDECC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301E8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30ABF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4A5BB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Вилучення частки в капіталі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F22F3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4275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0257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FC67E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427E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16EC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2B56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C2D6E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5C142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68E44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A849D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5636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Зменшення номінальної вартості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0E48B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4280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4DD0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4C410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5702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9D11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32D2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14921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3382E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D6CA3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47793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F9953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Інші зміни в капіталі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6CF65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298B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8BB70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FF59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9249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6DA9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-447</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DCFD5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C5D85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384DA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-447</w:t>
            </w:r>
          </w:p>
        </w:tc>
      </w:tr>
      <w:tr w14:paraId="71C3AB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D9E2A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Придбання (продаж) неконтрольованої частки в дочірньому підприємстві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9C399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FF54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7061F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AA48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2C18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2E85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E5754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4B071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BB208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9274E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256F0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змін у капіталі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8236B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B386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BF0EE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39F4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882D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9FB8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5 044</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F3A4F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3BFF4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E3F19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5 044</w:t>
            </w:r>
          </w:p>
        </w:tc>
      </w:tr>
      <w:tr w14:paraId="7B085C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F78D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Залишок на кінець року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C6A2C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0822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2896B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330F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E009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0ABD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52 033</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FE9AE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10142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61F87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53 368</w:t>
            </w:r>
          </w:p>
        </w:tc>
      </w:tr>
    </w:tbl>
    <w:p w14:paraId="390CC0C8">
      <w:pPr>
        <w:spacing w:beforeLines="0" w:afterLines="0"/>
        <w:jc w:val="left"/>
        <w:rPr>
          <w:rFonts w:hint="default" w:ascii="Times New Roman CYR" w:hAnsi="Times New Roman CYR" w:eastAsia="Times New Roman CYR"/>
          <w:sz w:val="22"/>
          <w:szCs w:val="24"/>
        </w:rPr>
      </w:pPr>
    </w:p>
    <w:p w14:paraId="2D4DB16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Грозний Юрiй Володимирович</w:t>
      </w:r>
    </w:p>
    <w:p w14:paraId="6B60AD37">
      <w:pPr>
        <w:spacing w:beforeLines="0" w:afterLines="0"/>
        <w:jc w:val="left"/>
        <w:rPr>
          <w:rFonts w:hint="default" w:ascii="Times New Roman CYR" w:hAnsi="Times New Roman CYR" w:eastAsia="Times New Roman CYR"/>
          <w:sz w:val="22"/>
          <w:szCs w:val="24"/>
        </w:rPr>
      </w:pPr>
    </w:p>
    <w:p w14:paraId="3A74DD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170A8943">
      <w:pPr>
        <w:spacing w:beforeLines="0" w:afterLines="0"/>
        <w:jc w:val="left"/>
        <w:rPr>
          <w:rFonts w:hint="default" w:ascii="Times New Roman CYR" w:hAnsi="Times New Roman CYR" w:eastAsia="Times New Roman CYR"/>
          <w:sz w:val="22"/>
          <w:szCs w:val="24"/>
        </w:rPr>
        <w:sectPr>
          <w:pgSz w:w="16838" w:h="11906" w:orient="landscape"/>
          <w:pgMar w:top="570" w:right="720" w:bottom="570" w:left="720" w:header="720" w:footer="720" w:gutter="0"/>
          <w:lnNumType w:countBy="0" w:distance="360"/>
          <w:cols w:space="720" w:num="1"/>
        </w:sectPr>
      </w:pPr>
    </w:p>
    <w:p w14:paraId="365E1AC7">
      <w:pPr>
        <w:spacing w:beforeLines="0" w:afterLines="0"/>
        <w:jc w:val="left"/>
        <w:rPr>
          <w:rFonts w:hint="default" w:ascii="Times New Roman CYR" w:hAnsi="Times New Roman CYR" w:eastAsia="Times New Roman CYR"/>
          <w:sz w:val="22"/>
          <w:szCs w:val="24"/>
        </w:rPr>
        <w:sectPr>
          <w:pgSz w:w="16838" w:h="11906" w:orient="landscape"/>
          <w:pgMar w:top="570" w:right="720" w:bottom="570" w:left="720" w:header="720" w:footer="720" w:gutter="0"/>
          <w:lnNumType w:countBy="0" w:distance="360"/>
          <w:cols w:space="720" w:num="1"/>
        </w:sectPr>
      </w:pPr>
    </w:p>
    <w:p w14:paraId="15DA7490">
      <w:pPr>
        <w:spacing w:beforeLines="0" w:afterLines="0"/>
        <w:jc w:val="left"/>
        <w:rPr>
          <w:rFonts w:hint="default" w:ascii="Times New Roman CYR" w:hAnsi="Times New Roman CYR" w:eastAsia="Times New Roman CYR"/>
          <w:sz w:val="22"/>
          <w:szCs w:val="24"/>
        </w:rPr>
        <w:sectPr>
          <w:pgSz w:w="16838" w:h="11906" w:orient="landscape"/>
          <w:pgMar w:top="570" w:right="720" w:bottom="570" w:left="720" w:header="720" w:footer="720" w:gutter="0"/>
          <w:lnNumType w:countBy="0" w:distance="360"/>
          <w:cols w:space="720" w:num="1"/>
        </w:sectPr>
      </w:pPr>
    </w:p>
    <w:p w14:paraId="11738CF2">
      <w:pPr>
        <w:spacing w:beforeLines="0" w:afterLines="0"/>
        <w:jc w:val="left"/>
        <w:rPr>
          <w:rFonts w:hint="default" w:ascii="Times New Roman CYR" w:hAnsi="Times New Roman CYR" w:eastAsia="Times New Roman CYR"/>
          <w:sz w:val="22"/>
          <w:szCs w:val="24"/>
        </w:rPr>
      </w:pPr>
    </w:p>
    <w:p w14:paraId="10088EA8">
      <w:pPr>
        <w:spacing w:beforeLines="0" w:afterLines="0"/>
        <w:jc w:val="left"/>
        <w:rPr>
          <w:rFonts w:hint="default" w:ascii="Times New Roman CYR" w:hAnsi="Times New Roman CYR" w:eastAsia="Times New Roman CYR"/>
          <w:sz w:val="22"/>
          <w:szCs w:val="24"/>
        </w:rPr>
      </w:pPr>
    </w:p>
    <w:sectPr>
      <w:pgSz w:w="16838" w:h="11906" w:orient="landscape"/>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61C3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TotalTime>0</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2026-04-24T11:36:11Z</dcterms:created>
  <dc:creator>Дмитро</dc:creator>
  <cp:lastModifiedBy>Дмитро</cp:lastModifiedBy>
  <dcterms:modified xsi:type="dcterms:W3CDTF">2026-04-24T11:38:00Z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7C90905C6A4B4C0C8F8976C4ED974E27_13</vt:lpwstr>
  </property>
</Properties>
</file>