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EE1ECE">
      <w:pPr>
        <w:spacing w:beforeLines="0" w:afterLines="0"/>
        <w:jc w:val="center"/>
        <w:rPr>
          <w:rFonts w:hint="default"/>
          <w:sz w:val="28"/>
          <w:szCs w:val="24"/>
        </w:rPr>
      </w:pPr>
      <w:bookmarkStart w:id="0" w:name="_GoBack"/>
      <w:bookmarkEnd w:id="0"/>
      <w:r>
        <w:rPr>
          <w:rFonts w:hint="default"/>
          <w:b/>
          <w:sz w:val="28"/>
          <w:szCs w:val="24"/>
        </w:rPr>
        <w:t>Титульний аркуш</w:t>
      </w:r>
    </w:p>
    <w:p w14:paraId="79A6C735">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6CA21F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2D5DD034">
            <w:pPr>
              <w:spacing w:beforeLines="0" w:afterLines="0"/>
              <w:jc w:val="center"/>
              <w:rPr>
                <w:rFonts w:hint="default"/>
                <w:sz w:val="24"/>
                <w:szCs w:val="24"/>
              </w:rPr>
            </w:pPr>
            <w:r>
              <w:rPr>
                <w:rFonts w:hint="default"/>
                <w:sz w:val="24"/>
                <w:szCs w:val="24"/>
              </w:rPr>
              <w:t>30.04.2026</w:t>
            </w:r>
          </w:p>
        </w:tc>
      </w:tr>
      <w:tr w14:paraId="37FE0622">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1ED97DB9">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641996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252B13F9">
            <w:pPr>
              <w:spacing w:beforeLines="0" w:afterLines="0"/>
              <w:jc w:val="center"/>
              <w:rPr>
                <w:rFonts w:hint="default"/>
                <w:sz w:val="24"/>
                <w:szCs w:val="24"/>
              </w:rPr>
            </w:pPr>
            <w:r>
              <w:rPr>
                <w:rFonts w:hint="default"/>
                <w:sz w:val="24"/>
                <w:szCs w:val="24"/>
              </w:rPr>
              <w:t>185</w:t>
            </w:r>
          </w:p>
        </w:tc>
      </w:tr>
      <w:tr w14:paraId="587297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7F40F1E7">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1B75EBCF">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45FE3F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2AA701B7">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55A4D2FC">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6B3C73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7B850CD4">
            <w:pPr>
              <w:spacing w:beforeLines="0" w:afterLines="0"/>
              <w:jc w:val="center"/>
              <w:rPr>
                <w:rFonts w:hint="default"/>
                <w:sz w:val="24"/>
                <w:szCs w:val="24"/>
              </w:rPr>
            </w:pPr>
            <w:r>
              <w:rPr>
                <w:rFonts w:hint="default"/>
                <w:sz w:val="24"/>
                <w:szCs w:val="24"/>
              </w:rPr>
              <w:t>т.в.о. Директора</w:t>
            </w:r>
          </w:p>
        </w:tc>
        <w:tc>
          <w:tcPr>
            <w:tcW w:w="50" w:type="dxa"/>
            <w:tcBorders>
              <w:top w:val="nil"/>
              <w:left w:val="nil"/>
              <w:bottom w:val="nil"/>
              <w:right w:val="nil"/>
              <w:tl2br w:val="nil"/>
              <w:tr2bl w:val="nil"/>
            </w:tcBorders>
            <w:noWrap w:val="0"/>
            <w:vAlign w:val="top"/>
          </w:tcPr>
          <w:p w14:paraId="408CAEFC">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1E2E14EA">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486913E1">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25B0CB53">
            <w:pPr>
              <w:spacing w:beforeLines="0" w:afterLines="0"/>
              <w:jc w:val="center"/>
              <w:rPr>
                <w:rFonts w:hint="default"/>
                <w:sz w:val="24"/>
                <w:szCs w:val="24"/>
              </w:rPr>
            </w:pPr>
            <w:r>
              <w:rPr>
                <w:rFonts w:hint="default"/>
                <w:sz w:val="24"/>
                <w:szCs w:val="24"/>
              </w:rPr>
              <w:t>Кузнєцова Мирослава Олегiвна</w:t>
            </w:r>
          </w:p>
        </w:tc>
      </w:tr>
      <w:tr w14:paraId="682CA1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1F06CE42">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157F7D61">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5D51913A">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752B4FB8">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3D494FA5">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62EEEA3D">
      <w:pPr>
        <w:spacing w:beforeLines="0" w:afterLines="0"/>
        <w:jc w:val="left"/>
        <w:rPr>
          <w:rFonts w:hint="default"/>
          <w:sz w:val="20"/>
          <w:szCs w:val="24"/>
        </w:rPr>
      </w:pPr>
    </w:p>
    <w:p w14:paraId="750F28C8">
      <w:pPr>
        <w:spacing w:beforeLines="0" w:afterLines="0"/>
        <w:jc w:val="center"/>
        <w:rPr>
          <w:rFonts w:hint="default"/>
          <w:b/>
          <w:sz w:val="24"/>
          <w:szCs w:val="24"/>
        </w:rPr>
      </w:pPr>
      <w:r>
        <w:rPr>
          <w:rFonts w:hint="default"/>
          <w:b/>
          <w:sz w:val="24"/>
          <w:szCs w:val="24"/>
        </w:rPr>
        <w:t>Річний звіт</w:t>
      </w:r>
    </w:p>
    <w:p w14:paraId="0C9D178D">
      <w:pPr>
        <w:spacing w:beforeLines="0" w:afterLines="0"/>
        <w:jc w:val="center"/>
        <w:rPr>
          <w:rFonts w:hint="default"/>
          <w:b/>
          <w:sz w:val="24"/>
          <w:szCs w:val="24"/>
        </w:rPr>
      </w:pPr>
      <w:r>
        <w:rPr>
          <w:rFonts w:hint="default"/>
          <w:b/>
          <w:sz w:val="24"/>
          <w:szCs w:val="24"/>
        </w:rPr>
        <w:t>ПРИВАТНЕ АКЦIОНЕРНЕ ТОВАРИСТВО "КИЇВСПЕЦМОНТАЖ" (04012615)</w:t>
      </w:r>
    </w:p>
    <w:p w14:paraId="794712CC">
      <w:pPr>
        <w:spacing w:beforeLines="0" w:afterLines="0"/>
        <w:jc w:val="center"/>
        <w:rPr>
          <w:rFonts w:hint="default"/>
          <w:b/>
          <w:sz w:val="24"/>
          <w:szCs w:val="24"/>
        </w:rPr>
      </w:pPr>
      <w:r>
        <w:rPr>
          <w:rFonts w:hint="default"/>
          <w:b/>
          <w:sz w:val="24"/>
          <w:szCs w:val="24"/>
        </w:rPr>
        <w:t>за 2025 рік</w:t>
      </w:r>
    </w:p>
    <w:p w14:paraId="7F938533">
      <w:pPr>
        <w:spacing w:beforeLines="0" w:afterLines="0"/>
        <w:jc w:val="center"/>
        <w:rPr>
          <w:rFonts w:hint="default"/>
          <w:b/>
          <w:sz w:val="24"/>
          <w:szCs w:val="24"/>
        </w:rPr>
      </w:pPr>
    </w:p>
    <w:p w14:paraId="55833491">
      <w:pPr>
        <w:spacing w:beforeLines="0" w:afterLines="0"/>
        <w:rPr>
          <w:rFonts w:hint="default"/>
          <w:sz w:val="24"/>
          <w:szCs w:val="24"/>
        </w:rPr>
      </w:pPr>
      <w:r>
        <w:rPr>
          <w:rFonts w:hint="default"/>
          <w:sz w:val="24"/>
          <w:szCs w:val="24"/>
        </w:rPr>
        <w:t>Рішення про затвердження річного звіту: Рішення загальних зборів акціонерів від 23.04.2026, Затверджено рішенням  річних дистанційних загальних зборів акціонерів (ПРОТОКОЛ №39)</w:t>
      </w:r>
    </w:p>
    <w:p w14:paraId="3C00D51E">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0BDD29EC">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17425348">
      <w:pPr>
        <w:spacing w:beforeLines="0" w:afterLines="0"/>
        <w:jc w:val="left"/>
        <w:rPr>
          <w:rFonts w:hint="default"/>
          <w:sz w:val="24"/>
          <w:szCs w:val="24"/>
        </w:rPr>
      </w:pPr>
    </w:p>
    <w:p w14:paraId="46440492">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589754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513A62C5">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12ECF006">
            <w:pPr>
              <w:spacing w:beforeLines="0" w:afterLines="0"/>
              <w:jc w:val="center"/>
              <w:rPr>
                <w:rFonts w:hint="default"/>
                <w:sz w:val="24"/>
                <w:szCs w:val="24"/>
              </w:rPr>
            </w:pPr>
            <w:r>
              <w:rPr>
                <w:rFonts w:hint="default"/>
                <w:sz w:val="24"/>
                <w:szCs w:val="24"/>
              </w:rPr>
              <w:t>http://ksm.emitents.net.ua/ua/docs/?fg_id=100</w:t>
            </w:r>
          </w:p>
        </w:tc>
        <w:tc>
          <w:tcPr>
            <w:tcW w:w="1885" w:type="dxa"/>
            <w:tcBorders>
              <w:top w:val="nil"/>
              <w:left w:val="nil"/>
              <w:bottom w:val="single" w:color="auto" w:sz="6" w:space="0"/>
              <w:right w:val="nil"/>
              <w:tl2br w:val="nil"/>
              <w:tr2bl w:val="nil"/>
            </w:tcBorders>
            <w:noWrap w:val="0"/>
            <w:vAlign w:val="bottom"/>
          </w:tcPr>
          <w:p w14:paraId="2711DFB3">
            <w:pPr>
              <w:spacing w:beforeLines="0" w:afterLines="0"/>
              <w:jc w:val="center"/>
              <w:rPr>
                <w:rFonts w:hint="default"/>
                <w:sz w:val="24"/>
                <w:szCs w:val="24"/>
              </w:rPr>
            </w:pPr>
            <w:r>
              <w:rPr>
                <w:rFonts w:hint="default"/>
                <w:sz w:val="24"/>
                <w:szCs w:val="24"/>
              </w:rPr>
              <w:t>30.04.2026</w:t>
            </w:r>
          </w:p>
        </w:tc>
      </w:tr>
      <w:tr w14:paraId="768CC2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1801D476">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36563737">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232AE984">
            <w:pPr>
              <w:spacing w:beforeLines="0" w:afterLines="0"/>
              <w:jc w:val="center"/>
              <w:rPr>
                <w:rFonts w:hint="default"/>
                <w:sz w:val="20"/>
                <w:szCs w:val="24"/>
              </w:rPr>
            </w:pPr>
            <w:r>
              <w:rPr>
                <w:rFonts w:hint="default"/>
                <w:sz w:val="20"/>
                <w:szCs w:val="24"/>
              </w:rPr>
              <w:t>(дата)</w:t>
            </w:r>
          </w:p>
        </w:tc>
      </w:tr>
    </w:tbl>
    <w:p w14:paraId="464C4779">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4C99B5D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60F0FC6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Рiчний звiт Наглядовою радою не затверджувався. Рiчний звiт затверджено Загальними зборами акцiонерiв Товариства.</w:t>
      </w:r>
    </w:p>
    <w:p w14:paraId="7FB0F555">
      <w:pPr>
        <w:spacing w:beforeLines="0" w:afterLines="0"/>
        <w:rPr>
          <w:rFonts w:hint="default" w:ascii="Times New Roman CYR" w:hAnsi="Times New Roman CYR" w:eastAsia="Times New Roman CYR"/>
          <w:sz w:val="24"/>
          <w:szCs w:val="24"/>
        </w:rPr>
      </w:pPr>
    </w:p>
    <w:p w14:paraId="3F2A937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випускало цiннi папери, за якими надається забезпечення.</w:t>
      </w:r>
    </w:p>
    <w:p w14:paraId="1486C0BF">
      <w:pPr>
        <w:spacing w:beforeLines="0" w:afterLines="0"/>
        <w:rPr>
          <w:rFonts w:hint="default" w:ascii="Times New Roman CYR" w:hAnsi="Times New Roman CYR" w:eastAsia="Times New Roman CYR"/>
          <w:sz w:val="24"/>
          <w:szCs w:val="24"/>
        </w:rPr>
      </w:pPr>
    </w:p>
    <w:p w14:paraId="2E525DD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такi особи вiдсутнi.</w:t>
      </w:r>
    </w:p>
    <w:p w14:paraId="7FEA8280">
      <w:pPr>
        <w:spacing w:beforeLines="0" w:afterLines="0"/>
        <w:rPr>
          <w:rFonts w:hint="default" w:ascii="Times New Roman CYR" w:hAnsi="Times New Roman CYR" w:eastAsia="Times New Roman CYR"/>
          <w:sz w:val="24"/>
          <w:szCs w:val="24"/>
        </w:rPr>
      </w:pPr>
    </w:p>
    <w:p w14:paraId="06CFC90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6BBA91A4">
      <w:pPr>
        <w:spacing w:beforeLines="0" w:afterLines="0"/>
        <w:rPr>
          <w:rFonts w:hint="default" w:ascii="Times New Roman CYR" w:hAnsi="Times New Roman CYR" w:eastAsia="Times New Roman CYR"/>
          <w:sz w:val="24"/>
          <w:szCs w:val="24"/>
        </w:rPr>
      </w:pPr>
    </w:p>
    <w:p w14:paraId="65C1D42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42F0AEF2">
      <w:pPr>
        <w:spacing w:beforeLines="0" w:afterLines="0"/>
        <w:rPr>
          <w:rFonts w:hint="default" w:ascii="Times New Roman CYR" w:hAnsi="Times New Roman CYR" w:eastAsia="Times New Roman CYR"/>
          <w:sz w:val="24"/>
          <w:szCs w:val="24"/>
        </w:rPr>
      </w:pPr>
    </w:p>
    <w:p w14:paraId="7561B24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69FACBB1">
      <w:pPr>
        <w:spacing w:beforeLines="0" w:afterLines="0"/>
        <w:rPr>
          <w:rFonts w:hint="default" w:ascii="Times New Roman CYR" w:hAnsi="Times New Roman CYR" w:eastAsia="Times New Roman CYR"/>
          <w:sz w:val="24"/>
          <w:szCs w:val="24"/>
        </w:rPr>
      </w:pPr>
    </w:p>
    <w:p w14:paraId="11CA0D2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w:t>
      </w:r>
    </w:p>
    <w:p w14:paraId="256446B3">
      <w:pPr>
        <w:spacing w:beforeLines="0" w:afterLines="0"/>
        <w:rPr>
          <w:rFonts w:hint="default" w:ascii="Times New Roman CYR" w:hAnsi="Times New Roman CYR" w:eastAsia="Times New Roman CYR"/>
          <w:sz w:val="24"/>
          <w:szCs w:val="24"/>
        </w:rPr>
      </w:pPr>
    </w:p>
    <w:p w14:paraId="41C1334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7B348092">
      <w:pPr>
        <w:spacing w:beforeLines="0" w:afterLines="0"/>
        <w:rPr>
          <w:rFonts w:hint="default" w:ascii="Times New Roman CYR" w:hAnsi="Times New Roman CYR" w:eastAsia="Times New Roman CYR"/>
          <w:sz w:val="24"/>
          <w:szCs w:val="24"/>
        </w:rPr>
      </w:pPr>
    </w:p>
    <w:p w14:paraId="15893C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56F7FDA5">
      <w:pPr>
        <w:spacing w:beforeLines="0" w:afterLines="0"/>
        <w:rPr>
          <w:rFonts w:hint="default" w:ascii="Times New Roman CYR" w:hAnsi="Times New Roman CYR" w:eastAsia="Times New Roman CYR"/>
          <w:sz w:val="24"/>
          <w:szCs w:val="24"/>
        </w:rPr>
      </w:pPr>
    </w:p>
    <w:p w14:paraId="5F02326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057B277E">
      <w:pPr>
        <w:spacing w:beforeLines="0" w:afterLines="0"/>
        <w:rPr>
          <w:rFonts w:hint="default" w:ascii="Times New Roman CYR" w:hAnsi="Times New Roman CYR" w:eastAsia="Times New Roman CYR"/>
          <w:sz w:val="24"/>
          <w:szCs w:val="24"/>
        </w:rPr>
      </w:pPr>
    </w:p>
    <w:p w14:paraId="3E4ED8D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фiлiй або iнших вiдокремлених пiдроздiлiв.</w:t>
      </w:r>
    </w:p>
    <w:p w14:paraId="28A35266">
      <w:pPr>
        <w:spacing w:beforeLines="0" w:afterLines="0"/>
        <w:rPr>
          <w:rFonts w:hint="default" w:ascii="Times New Roman CYR" w:hAnsi="Times New Roman CYR" w:eastAsia="Times New Roman CYR"/>
          <w:sz w:val="24"/>
          <w:szCs w:val="24"/>
        </w:rPr>
      </w:pPr>
    </w:p>
    <w:p w14:paraId="1EB006C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55E74CA5">
      <w:pPr>
        <w:spacing w:beforeLines="0" w:afterLines="0"/>
        <w:rPr>
          <w:rFonts w:hint="default" w:ascii="Times New Roman CYR" w:hAnsi="Times New Roman CYR" w:eastAsia="Times New Roman CYR"/>
          <w:sz w:val="24"/>
          <w:szCs w:val="24"/>
        </w:rPr>
      </w:pPr>
    </w:p>
    <w:p w14:paraId="0EC48A1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03582999">
      <w:pPr>
        <w:spacing w:beforeLines="0" w:afterLines="0"/>
        <w:rPr>
          <w:rFonts w:hint="default" w:ascii="Times New Roman CYR" w:hAnsi="Times New Roman CYR" w:eastAsia="Times New Roman CYR"/>
          <w:sz w:val="24"/>
          <w:szCs w:val="24"/>
        </w:rPr>
      </w:pPr>
    </w:p>
    <w:p w14:paraId="5D52854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39635FC9">
      <w:pPr>
        <w:spacing w:beforeLines="0" w:afterLines="0"/>
        <w:rPr>
          <w:rFonts w:hint="default" w:ascii="Times New Roman CYR" w:hAnsi="Times New Roman CYR" w:eastAsia="Times New Roman CYR"/>
          <w:sz w:val="24"/>
          <w:szCs w:val="24"/>
        </w:rPr>
      </w:pPr>
    </w:p>
    <w:p w14:paraId="72FF0B5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7845A946">
      <w:pPr>
        <w:spacing w:beforeLines="0" w:afterLines="0"/>
        <w:rPr>
          <w:rFonts w:hint="default" w:ascii="Times New Roman CYR" w:hAnsi="Times New Roman CYR" w:eastAsia="Times New Roman CYR"/>
          <w:sz w:val="24"/>
          <w:szCs w:val="24"/>
        </w:rPr>
      </w:pPr>
    </w:p>
    <w:p w14:paraId="547F85A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7DC03CB0">
      <w:pPr>
        <w:spacing w:beforeLines="0" w:afterLines="0"/>
        <w:rPr>
          <w:rFonts w:hint="default" w:ascii="Times New Roman CYR" w:hAnsi="Times New Roman CYR" w:eastAsia="Times New Roman CYR"/>
          <w:sz w:val="24"/>
          <w:szCs w:val="24"/>
        </w:rPr>
      </w:pPr>
    </w:p>
    <w:p w14:paraId="74FFCDD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паперiв не надається, тому що Товариство не випускало забезпечених боргових цiнних паперiв.</w:t>
      </w:r>
    </w:p>
    <w:p w14:paraId="7CAD3582">
      <w:pPr>
        <w:spacing w:beforeLines="0" w:afterLines="0"/>
        <w:rPr>
          <w:rFonts w:hint="default" w:ascii="Times New Roman CYR" w:hAnsi="Times New Roman CYR" w:eastAsia="Times New Roman CYR"/>
          <w:sz w:val="24"/>
          <w:szCs w:val="24"/>
        </w:rPr>
      </w:pPr>
    </w:p>
    <w:p w14:paraId="3922E68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62F7E2CE">
      <w:pPr>
        <w:spacing w:beforeLines="0" w:afterLines="0"/>
        <w:rPr>
          <w:rFonts w:hint="default" w:ascii="Times New Roman CYR" w:hAnsi="Times New Roman CYR" w:eastAsia="Times New Roman CYR"/>
          <w:sz w:val="24"/>
          <w:szCs w:val="24"/>
        </w:rPr>
      </w:pPr>
    </w:p>
    <w:p w14:paraId="5EAB147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599BB61B">
      <w:pPr>
        <w:spacing w:beforeLines="0" w:afterLines="0"/>
        <w:rPr>
          <w:rFonts w:hint="default" w:ascii="Times New Roman CYR" w:hAnsi="Times New Roman CYR" w:eastAsia="Times New Roman CYR"/>
          <w:sz w:val="24"/>
          <w:szCs w:val="24"/>
        </w:rPr>
      </w:pPr>
    </w:p>
    <w:p w14:paraId="33BB4A1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 крiм акцiй.</w:t>
      </w:r>
    </w:p>
    <w:p w14:paraId="73C3E8DA">
      <w:pPr>
        <w:spacing w:beforeLines="0" w:afterLines="0"/>
        <w:rPr>
          <w:rFonts w:hint="default" w:ascii="Times New Roman CYR" w:hAnsi="Times New Roman CYR" w:eastAsia="Times New Roman CYR"/>
          <w:sz w:val="24"/>
          <w:szCs w:val="24"/>
        </w:rPr>
      </w:pPr>
    </w:p>
    <w:p w14:paraId="60BD39C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473CB2D0">
      <w:pPr>
        <w:spacing w:beforeLines="0" w:afterLines="0"/>
        <w:rPr>
          <w:rFonts w:hint="default" w:ascii="Times New Roman CYR" w:hAnsi="Times New Roman CYR" w:eastAsia="Times New Roman CYR"/>
          <w:sz w:val="24"/>
          <w:szCs w:val="24"/>
        </w:rPr>
      </w:pPr>
    </w:p>
    <w:p w14:paraId="77F115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317C9DAF">
      <w:pPr>
        <w:spacing w:beforeLines="0" w:afterLines="0"/>
        <w:rPr>
          <w:rFonts w:hint="default" w:ascii="Times New Roman CYR" w:hAnsi="Times New Roman CYR" w:eastAsia="Times New Roman CYR"/>
          <w:sz w:val="24"/>
          <w:szCs w:val="24"/>
        </w:rPr>
      </w:pPr>
    </w:p>
    <w:p w14:paraId="184CEBD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6183A277">
      <w:pPr>
        <w:spacing w:beforeLines="0" w:afterLines="0"/>
        <w:rPr>
          <w:rFonts w:hint="default" w:ascii="Times New Roman CYR" w:hAnsi="Times New Roman CYR" w:eastAsia="Times New Roman CYR"/>
          <w:sz w:val="24"/>
          <w:szCs w:val="24"/>
        </w:rPr>
      </w:pPr>
    </w:p>
    <w:p w14:paraId="784CF5E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не проводило аудит фiнансової звiтностi.</w:t>
      </w:r>
    </w:p>
    <w:p w14:paraId="6440FDA4">
      <w:pPr>
        <w:spacing w:beforeLines="0" w:afterLines="0"/>
        <w:rPr>
          <w:rFonts w:hint="default" w:ascii="Times New Roman CYR" w:hAnsi="Times New Roman CYR" w:eastAsia="Times New Roman CYR"/>
          <w:sz w:val="24"/>
          <w:szCs w:val="24"/>
        </w:rPr>
      </w:pPr>
    </w:p>
    <w:p w14:paraId="7377D3B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693DDB86">
      <w:pPr>
        <w:spacing w:beforeLines="0" w:afterLines="0"/>
        <w:rPr>
          <w:rFonts w:hint="default" w:ascii="Times New Roman CYR" w:hAnsi="Times New Roman CYR" w:eastAsia="Times New Roman CYR"/>
          <w:sz w:val="24"/>
          <w:szCs w:val="24"/>
        </w:rPr>
      </w:pPr>
    </w:p>
    <w:p w14:paraId="68AF02F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39DF0F3E">
      <w:pPr>
        <w:spacing w:beforeLines="0" w:afterLines="0"/>
        <w:rPr>
          <w:rFonts w:hint="default" w:ascii="Times New Roman CYR" w:hAnsi="Times New Roman CYR" w:eastAsia="Times New Roman CYR"/>
          <w:sz w:val="24"/>
          <w:szCs w:val="24"/>
        </w:rPr>
      </w:pPr>
    </w:p>
    <w:p w14:paraId="73F1C01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363BBBA2">
      <w:pPr>
        <w:spacing w:beforeLines="0" w:afterLines="0"/>
        <w:rPr>
          <w:rFonts w:hint="default" w:ascii="Times New Roman CYR" w:hAnsi="Times New Roman CYR" w:eastAsia="Times New Roman CYR"/>
          <w:sz w:val="24"/>
          <w:szCs w:val="24"/>
        </w:rPr>
      </w:pPr>
    </w:p>
    <w:p w14:paraId="6B20446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комiтетiв ради та загальний опис прийнятих рiшень не надається, тому що рада не має комiтетiв.</w:t>
      </w:r>
    </w:p>
    <w:p w14:paraId="76D7634C">
      <w:pPr>
        <w:spacing w:beforeLines="0" w:afterLines="0"/>
        <w:rPr>
          <w:rFonts w:hint="default" w:ascii="Times New Roman CYR" w:hAnsi="Times New Roman CYR" w:eastAsia="Times New Roman CYR"/>
          <w:sz w:val="24"/>
          <w:szCs w:val="24"/>
        </w:rPr>
      </w:pPr>
    </w:p>
    <w:p w14:paraId="4CD8DA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тому що в Товариствi створено одноосiбний виконавчий орган.</w:t>
      </w:r>
    </w:p>
    <w:p w14:paraId="1419A4CA">
      <w:pPr>
        <w:spacing w:beforeLines="0" w:afterLines="0"/>
        <w:rPr>
          <w:rFonts w:hint="default" w:ascii="Times New Roman CYR" w:hAnsi="Times New Roman CYR" w:eastAsia="Times New Roman CYR"/>
          <w:sz w:val="24"/>
          <w:szCs w:val="24"/>
        </w:rPr>
      </w:pPr>
    </w:p>
    <w:p w14:paraId="198EBE9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виконавчого органу за звiтний рiк не сладався у зв'язку з мобiлiзацiєю директора Грозного Ю.В. до лав ЗСУ.</w:t>
      </w:r>
    </w:p>
    <w:p w14:paraId="244C23EE">
      <w:pPr>
        <w:spacing w:beforeLines="0" w:afterLines="0"/>
        <w:rPr>
          <w:rFonts w:hint="default" w:ascii="Times New Roman CYR" w:hAnsi="Times New Roman CYR" w:eastAsia="Times New Roman CYR"/>
          <w:sz w:val="24"/>
          <w:szCs w:val="24"/>
        </w:rPr>
      </w:pPr>
    </w:p>
    <w:p w14:paraId="4F84C46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266F8495">
      <w:pPr>
        <w:spacing w:beforeLines="0" w:afterLines="0"/>
        <w:rPr>
          <w:rFonts w:hint="default" w:ascii="Times New Roman CYR" w:hAnsi="Times New Roman CYR" w:eastAsia="Times New Roman CYR"/>
          <w:sz w:val="24"/>
          <w:szCs w:val="24"/>
        </w:rPr>
      </w:pPr>
    </w:p>
    <w:p w14:paraId="2A2B96B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408928F2">
      <w:pPr>
        <w:spacing w:beforeLines="0" w:afterLines="0"/>
        <w:rPr>
          <w:rFonts w:hint="default" w:ascii="Times New Roman CYR" w:hAnsi="Times New Roman CYR" w:eastAsia="Times New Roman CYR"/>
          <w:sz w:val="24"/>
          <w:szCs w:val="24"/>
        </w:rPr>
      </w:pPr>
    </w:p>
    <w:p w14:paraId="6FB00D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05D70FA8">
      <w:pPr>
        <w:spacing w:beforeLines="0" w:afterLines="0"/>
        <w:rPr>
          <w:rFonts w:hint="default" w:ascii="Times New Roman CYR" w:hAnsi="Times New Roman CYR" w:eastAsia="Times New Roman CYR"/>
          <w:sz w:val="24"/>
          <w:szCs w:val="24"/>
        </w:rPr>
      </w:pPr>
    </w:p>
    <w:p w14:paraId="161AB3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19A9AB60">
      <w:pPr>
        <w:spacing w:beforeLines="0" w:afterLines="0"/>
        <w:rPr>
          <w:rFonts w:hint="default" w:ascii="Times New Roman CYR" w:hAnsi="Times New Roman CYR" w:eastAsia="Times New Roman CYR"/>
          <w:sz w:val="24"/>
          <w:szCs w:val="24"/>
        </w:rPr>
      </w:pPr>
    </w:p>
    <w:p w14:paraId="07D353C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763F779D">
      <w:pPr>
        <w:spacing w:beforeLines="0" w:afterLines="0"/>
        <w:rPr>
          <w:rFonts w:hint="default" w:ascii="Times New Roman CYR" w:hAnsi="Times New Roman CYR" w:eastAsia="Times New Roman CYR"/>
          <w:sz w:val="24"/>
          <w:szCs w:val="24"/>
        </w:rPr>
      </w:pPr>
    </w:p>
    <w:p w14:paraId="592AFBA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709326CC">
      <w:pPr>
        <w:spacing w:beforeLines="0" w:afterLines="0"/>
        <w:rPr>
          <w:rFonts w:hint="default" w:ascii="Times New Roman CYR" w:hAnsi="Times New Roman CYR" w:eastAsia="Times New Roman CYR"/>
          <w:sz w:val="24"/>
          <w:szCs w:val="24"/>
        </w:rPr>
      </w:pPr>
    </w:p>
    <w:p w14:paraId="156EA06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71CF7E62">
      <w:pPr>
        <w:spacing w:beforeLines="0" w:afterLines="0"/>
        <w:rPr>
          <w:rFonts w:hint="default" w:ascii="Times New Roman CYR" w:hAnsi="Times New Roman CYR" w:eastAsia="Times New Roman CYR"/>
          <w:sz w:val="24"/>
          <w:szCs w:val="24"/>
        </w:rPr>
      </w:pPr>
    </w:p>
    <w:p w14:paraId="55F717F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4446FD5A">
      <w:pPr>
        <w:spacing w:beforeLines="0" w:afterLines="0"/>
        <w:rPr>
          <w:rFonts w:hint="default" w:ascii="Times New Roman CYR" w:hAnsi="Times New Roman CYR" w:eastAsia="Times New Roman CYR"/>
          <w:sz w:val="24"/>
          <w:szCs w:val="24"/>
        </w:rPr>
      </w:pPr>
    </w:p>
    <w:p w14:paraId="49B403A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34039F90">
      <w:pPr>
        <w:spacing w:beforeLines="0" w:afterLines="0"/>
        <w:rPr>
          <w:rFonts w:hint="default" w:ascii="Times New Roman CYR" w:hAnsi="Times New Roman CYR" w:eastAsia="Times New Roman CYR"/>
          <w:sz w:val="24"/>
          <w:szCs w:val="24"/>
        </w:rPr>
      </w:pPr>
    </w:p>
    <w:p w14:paraId="5D16B7D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0A5075F7">
      <w:pPr>
        <w:spacing w:beforeLines="0" w:afterLines="0"/>
        <w:rPr>
          <w:rFonts w:hint="default" w:ascii="Times New Roman CYR" w:hAnsi="Times New Roman CYR" w:eastAsia="Times New Roman CYR"/>
          <w:sz w:val="24"/>
          <w:szCs w:val="24"/>
        </w:rPr>
      </w:pPr>
    </w:p>
    <w:p w14:paraId="4755D4D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50BF9833">
      <w:pPr>
        <w:spacing w:beforeLines="0" w:afterLines="0"/>
        <w:rPr>
          <w:rFonts w:hint="default" w:ascii="Times New Roman CYR" w:hAnsi="Times New Roman CYR" w:eastAsia="Times New Roman CYR"/>
          <w:sz w:val="24"/>
          <w:szCs w:val="24"/>
        </w:rPr>
      </w:pPr>
    </w:p>
    <w:p w14:paraId="1804520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3D42920E">
      <w:pPr>
        <w:spacing w:beforeLines="0" w:afterLines="0"/>
        <w:rPr>
          <w:rFonts w:hint="default" w:ascii="Times New Roman CYR" w:hAnsi="Times New Roman CYR" w:eastAsia="Times New Roman CYR"/>
          <w:sz w:val="24"/>
          <w:szCs w:val="24"/>
        </w:rPr>
      </w:pPr>
    </w:p>
    <w:p w14:paraId="75F9395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6E168090">
      <w:pPr>
        <w:spacing w:beforeLines="0" w:afterLines="0"/>
        <w:rPr>
          <w:rFonts w:hint="default" w:ascii="Times New Roman CYR" w:hAnsi="Times New Roman CYR" w:eastAsia="Times New Roman CYR"/>
          <w:sz w:val="24"/>
          <w:szCs w:val="24"/>
        </w:rPr>
      </w:pPr>
    </w:p>
    <w:p w14:paraId="5140FC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2AE3068A">
      <w:pPr>
        <w:spacing w:beforeLines="0" w:afterLines="0"/>
        <w:rPr>
          <w:rFonts w:hint="default" w:ascii="Times New Roman CYR" w:hAnsi="Times New Roman CYR" w:eastAsia="Times New Roman CYR"/>
          <w:sz w:val="24"/>
          <w:szCs w:val="24"/>
        </w:rPr>
      </w:pPr>
    </w:p>
    <w:p w14:paraId="663BE6B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Згiдно з рiшенням рiчних дистанцiйних Загальних зборiв акцiонерiв вiд 25.04.2025 р. прибуток, отриманий Товариством в 2024 роцi у розмiрi 219 тис. грн. залишити нерозподiленим, тому Iнформацiя про виплату дивiдендiв у звiтному роцi не надається. </w:t>
      </w:r>
    </w:p>
    <w:p w14:paraId="631E14D3">
      <w:pPr>
        <w:spacing w:beforeLines="0" w:afterLines="0"/>
        <w:rPr>
          <w:rFonts w:hint="default" w:ascii="Times New Roman CYR" w:hAnsi="Times New Roman CYR" w:eastAsia="Times New Roman CYR"/>
          <w:sz w:val="24"/>
          <w:szCs w:val="24"/>
        </w:rPr>
      </w:pPr>
    </w:p>
    <w:p w14:paraId="7918742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25999172">
      <w:pPr>
        <w:spacing w:beforeLines="0" w:afterLines="0"/>
        <w:rPr>
          <w:rFonts w:hint="default" w:ascii="Times New Roman CYR" w:hAnsi="Times New Roman CYR" w:eastAsia="Times New Roman CYR"/>
          <w:sz w:val="24"/>
          <w:szCs w:val="24"/>
        </w:rPr>
      </w:pPr>
    </w:p>
    <w:p w14:paraId="46C75A88">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5583166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51DD71C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387CA55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7AFFCED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4B36064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045C16B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2D67C66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2406198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2F8AEAA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4B64343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673305F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Інформація про розмір доходу за видами діяльності особи</w:t>
      </w:r>
    </w:p>
    <w:p w14:paraId="1650851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2CEFC69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0ED4339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0F06283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55A1E83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звіт про сталий розвиток</w:t>
      </w:r>
    </w:p>
    <w:p w14:paraId="11F6783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701A1F0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VI. Список посилань на регульовану інформацію, яка була розкрита протягом звітного року</w:t>
      </w:r>
    </w:p>
    <w:p w14:paraId="1BA48E85">
      <w:pPr>
        <w:spacing w:beforeLines="0" w:afterLines="0"/>
        <w:jc w:val="left"/>
        <w:rPr>
          <w:rFonts w:hint="default" w:ascii="Times New Roman CYR" w:hAnsi="Times New Roman CYR" w:eastAsia="Times New Roman CYR"/>
          <w:sz w:val="24"/>
          <w:szCs w:val="24"/>
        </w:rPr>
      </w:pPr>
    </w:p>
    <w:p w14:paraId="645CA6F8">
      <w:pPr>
        <w:spacing w:beforeLines="0" w:afterLines="0"/>
        <w:jc w:val="left"/>
        <w:rPr>
          <w:rFonts w:hint="default" w:ascii="Times New Roman CYR" w:hAnsi="Times New Roman CYR" w:eastAsia="Times New Roman CYR"/>
          <w:sz w:val="24"/>
          <w:szCs w:val="24"/>
        </w:rPr>
      </w:pPr>
    </w:p>
    <w:p w14:paraId="3A200540">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107648B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45DB2B4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36E06A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B7C86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1A793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D89D9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ПРИВАТНЕ АКЦIОНЕРНЕ ТОВАРИСТВО "КИЇВСПЕЦМОНТАЖ"</w:t>
            </w:r>
          </w:p>
        </w:tc>
      </w:tr>
      <w:tr w14:paraId="058234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1038A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EBB6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043B9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"КИЇВСПЕЦМОНТАЖ"</w:t>
            </w:r>
          </w:p>
        </w:tc>
      </w:tr>
      <w:tr w14:paraId="7294CD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BA132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C723E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1F8B4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04012615</w:t>
            </w:r>
          </w:p>
        </w:tc>
      </w:tr>
      <w:tr w14:paraId="1C8BC9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920BA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1B63E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7EC07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29.06.1995</w:t>
            </w:r>
          </w:p>
        </w:tc>
      </w:tr>
      <w:tr w14:paraId="193530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DD9ED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D3882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0DEFA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01010, Україна, м.Київ, Київ, вул. Левандовська, буд. 3-Б</w:t>
            </w:r>
          </w:p>
        </w:tc>
      </w:tr>
      <w:tr w14:paraId="768C65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9AD80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A41EB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19AC4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Україна, 01010, мiсто Київ, вул. Левандовська, буд. 3-Б</w:t>
            </w:r>
          </w:p>
        </w:tc>
      </w:tr>
      <w:tr w14:paraId="18797E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DDA3A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44CDB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FA5A1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4A7EA6D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6C437B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7905C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772BD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8909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673815D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59D2E7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88019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09DF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CD71C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1DB8D01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4069447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78DD84B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32684A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08AF5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D7AE0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62230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dzerik@ukr.net</w:t>
            </w:r>
          </w:p>
        </w:tc>
      </w:tr>
      <w:tr w14:paraId="08999C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D9E1B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B95EC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6E2DF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w:t>
            </w:r>
          </w:p>
        </w:tc>
      </w:tr>
      <w:tr w14:paraId="1A4B75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5B759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9AB0A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6D12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+38(044)294-67-77</w:t>
            </w:r>
          </w:p>
        </w:tc>
      </w:tr>
      <w:tr w14:paraId="27BBBD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75398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90536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06392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100000</w:t>
            </w:r>
          </w:p>
        </w:tc>
      </w:tr>
      <w:tr w14:paraId="1B201D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CE04E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0A35C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9F3AF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1DF524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1BDD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A9537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CBC41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5DD42C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B7C16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03DD7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2BCC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32</w:t>
            </w:r>
          </w:p>
        </w:tc>
      </w:tr>
      <w:tr w14:paraId="3A140D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FA252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D01BE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0C44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14655,87</w:t>
            </w:r>
          </w:p>
        </w:tc>
      </w:tr>
      <w:tr w14:paraId="35CDCD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602D7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0BE26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5DAE6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p w14:paraId="1133140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46.14 - Дiяльнiсть посередникiв у торгiвлi машинами, промисловим устаткуванням, суднами i лiтаками</w:t>
            </w:r>
          </w:p>
          <w:p w14:paraId="61317E6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68.20 - Надання в оренду й експлуатацiю власного чи орендованого нерухомого майна</w:t>
            </w:r>
          </w:p>
        </w:tc>
      </w:tr>
      <w:tr w14:paraId="13F3E7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1AF2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4A55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8C72D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47D5BBE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72980BC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6A60AE10">
      <w:pPr>
        <w:spacing w:beforeLines="0" w:afterLines="0"/>
        <w:jc w:val="left"/>
        <w:rPr>
          <w:rFonts w:hint="default" w:ascii="Times New Roman CYR" w:hAnsi="Times New Roman CYR" w:eastAsia="Times New Roman CYR"/>
          <w:sz w:val="24"/>
          <w:szCs w:val="24"/>
        </w:rPr>
      </w:pPr>
    </w:p>
    <w:p w14:paraId="47593FA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6D614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126EC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C770D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22307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"Райффайзен Банк"</w:t>
            </w:r>
          </w:p>
        </w:tc>
      </w:tr>
      <w:tr w14:paraId="7595DB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7A857B">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7D3DA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B0389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14305909</w:t>
            </w:r>
          </w:p>
        </w:tc>
      </w:tr>
      <w:tr w14:paraId="75917C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F9657">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A2A3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CAF1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UA5838080500000260011193839</w:t>
            </w:r>
          </w:p>
        </w:tc>
      </w:tr>
      <w:tr w14:paraId="2DE770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72AA6D">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5296E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4B89B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r w14:paraId="1621C2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FE759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D4843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4B858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комерцiйний банк "ПриватБанк"</w:t>
            </w:r>
          </w:p>
        </w:tc>
      </w:tr>
      <w:tr w14:paraId="72D5AB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9EB9E4">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F583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4C546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14360570</w:t>
            </w:r>
          </w:p>
        </w:tc>
      </w:tr>
      <w:tr w14:paraId="655590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D11AE8">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E772D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64E11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UA943052990000026004016243742</w:t>
            </w:r>
          </w:p>
        </w:tc>
      </w:tr>
      <w:tr w14:paraId="741654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B41CE1">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B5450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5DF96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16092AD5">
      <w:pPr>
        <w:spacing w:beforeLines="0" w:afterLines="0"/>
        <w:jc w:val="left"/>
        <w:rPr>
          <w:rFonts w:hint="default" w:ascii="Times New Roman CYR" w:hAnsi="Times New Roman CYR" w:eastAsia="Times New Roman CYR"/>
          <w:sz w:val="24"/>
          <w:szCs w:val="24"/>
        </w:rPr>
      </w:pPr>
    </w:p>
    <w:p w14:paraId="2725A5A9">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770ED87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Судові справи: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200"/>
        <w:gridCol w:w="2200"/>
        <w:gridCol w:w="2200"/>
        <w:gridCol w:w="2200"/>
        <w:gridCol w:w="2200"/>
        <w:gridCol w:w="2200"/>
        <w:gridCol w:w="1650"/>
      </w:tblGrid>
      <w:tr w14:paraId="1BD215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D3C66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E91C6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Номер справи та дата відкриття провадження</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3610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Найменування суду</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52D0D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Позивач</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5FA2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Відповідач</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3A1D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Третя особа</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ABB8C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Позовні вимоги (в т.ч. їх розмір)</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9F9C9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Стан розгляду справи</w:t>
            </w:r>
          </w:p>
        </w:tc>
      </w:tr>
      <w:tr w14:paraId="6CA976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1598F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438A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2D405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D9B66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75267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68FCB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39BEF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8866E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r>
      <w:tr w14:paraId="4EA65F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7B731A5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1EE09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910/18384/15</w:t>
            </w:r>
          </w:p>
          <w:p w14:paraId="27DAA91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28.01.2016</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ADA5D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Господарський суд м. Києва</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2FFC2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ПрАТ "Київспецмонтаж"</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8175D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Український консорцiум "Екосорб"</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EECEC1">
            <w:pPr>
              <w:spacing w:beforeLines="0" w:afterLines="0"/>
              <w:jc w:val="center"/>
              <w:rPr>
                <w:rFonts w:hint="default" w:ascii="Times New Roman CYR" w:hAnsi="Times New Roman CYR" w:eastAsia="Times New Roman CYR"/>
                <w:sz w:val="20"/>
                <w:szCs w:val="24"/>
              </w:rPr>
            </w:pP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02EB0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Справа №910/18384/15 про банкрутство УК "ЕКОСОРБ" про стягнення 1.676.350, 04 грн.</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14:paraId="24D501C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 Сума боргу не повернута. Справа перебуває в провадженнi.</w:t>
            </w:r>
          </w:p>
        </w:tc>
      </w:tr>
    </w:tbl>
    <w:p w14:paraId="2E750DA9">
      <w:pPr>
        <w:spacing w:beforeLines="0" w:afterLines="0"/>
        <w:jc w:val="left"/>
        <w:rPr>
          <w:rFonts w:hint="default" w:ascii="Times New Roman CYR" w:hAnsi="Times New Roman CYR" w:eastAsia="Times New Roman CYR"/>
          <w:sz w:val="20"/>
          <w:szCs w:val="24"/>
        </w:rPr>
      </w:pPr>
    </w:p>
    <w:p w14:paraId="28A762F4">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2D433E9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59DEA81A">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6F02BD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C6B0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BC66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E4D8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F052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59C7FC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150B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55B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D58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7ECE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5F797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2D1E08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0BBE81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5AD9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CDBB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Грозний  Юрiй  Володимирович</w:t>
            </w:r>
          </w:p>
        </w:tc>
      </w:tr>
      <w:tr w14:paraId="291F96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7DD84A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6A760C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Наглядова рада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0745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A099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 - Голова Наглядової ради</w:t>
            </w:r>
          </w:p>
          <w:p w14:paraId="295D545E">
            <w:pPr>
              <w:spacing w:beforeLines="0" w:afterLines="0"/>
              <w:jc w:val="center"/>
              <w:rPr>
                <w:rFonts w:hint="default" w:ascii="Times New Roman CYR" w:hAnsi="Times New Roman CYR" w:eastAsia="Times New Roman CYR"/>
                <w:sz w:val="22"/>
                <w:szCs w:val="24"/>
              </w:rPr>
            </w:pPr>
          </w:p>
          <w:p w14:paraId="2D0A5F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Кузнєцова Мирослава Олегiвна - Член Наглядової ради</w:t>
            </w:r>
          </w:p>
          <w:p w14:paraId="797F1908">
            <w:pPr>
              <w:spacing w:beforeLines="0" w:afterLines="0"/>
              <w:jc w:val="center"/>
              <w:rPr>
                <w:rFonts w:hint="default" w:ascii="Times New Roman CYR" w:hAnsi="Times New Roman CYR" w:eastAsia="Times New Roman CYR"/>
                <w:sz w:val="22"/>
                <w:szCs w:val="24"/>
              </w:rPr>
            </w:pPr>
          </w:p>
          <w:p w14:paraId="3C1E26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Макаренко Галина Венаминiвна - Член Наглядової ради</w:t>
            </w:r>
          </w:p>
        </w:tc>
      </w:tr>
      <w:tr w14:paraId="027075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1E5725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0B1EC5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08B0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28 фiзичних осiб</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A8DD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Акцiонери, згiдно з реєстром</w:t>
            </w:r>
          </w:p>
        </w:tc>
      </w:tr>
    </w:tbl>
    <w:p w14:paraId="7D796380">
      <w:pPr>
        <w:spacing w:beforeLines="0" w:afterLines="0"/>
        <w:jc w:val="left"/>
        <w:rPr>
          <w:rFonts w:hint="default" w:ascii="Times New Roman CYR" w:hAnsi="Times New Roman CYR" w:eastAsia="Times New Roman CYR"/>
          <w:sz w:val="22"/>
          <w:szCs w:val="24"/>
        </w:rPr>
      </w:pPr>
    </w:p>
    <w:p w14:paraId="385BDB6D">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6C3AE48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6262774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Рада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7534ED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2F3B5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38B1C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C2000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C8C3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E257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111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5B0DB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75EC3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3AD74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4C944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1997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19F16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47ACAD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2E30C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1C209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E7BE0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C51D2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25A93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301C9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667DF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13E0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7A58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84E5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43B0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E0B41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328533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A855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DC96B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B776D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Дзерик Володимир Iванович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D0387">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BAE81F">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AC0AC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1951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A4A27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0628D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EF550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6279FD5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6327DC7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F1F3C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30.04.2025</w:t>
            </w:r>
          </w:p>
          <w:p w14:paraId="10740E5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DDD14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740D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0A1F10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1F1B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DF479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Секретар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B885A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Кузнєцова Мирослава Олегiвна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B26E7E">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D52D4C">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E0904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1983</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FBD6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68C1C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17</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624F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6A4B9F8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519ACC7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Провiдний iнженер з органiзацiї експлуатацiї та ремонту будiвель i споруд, виконуюча обов"язки начальника вiддiлу кадрiв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ED7BA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30.04.2025</w:t>
            </w:r>
          </w:p>
          <w:p w14:paraId="757F33C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A5830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2AB7E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r w14:paraId="2297C6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CB5A2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23A8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D3DA0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Макаренко Галина Венаминiвна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0B1EB9">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1E8C34">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6551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3DE3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C1E97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DC48B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4413A05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712F935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Бухгалтер першої категорiї</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FF0B6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30.04.2025</w:t>
            </w:r>
          </w:p>
          <w:p w14:paraId="02CAA48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21F16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E9430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3560C6B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0B89F2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52F93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30096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15E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EC97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27445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B08DA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9AB43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8148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FC7ED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BEAA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1AD7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F92D4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21167D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19FD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3B952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1BF1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BA2E4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5903C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4CD34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B07DC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9E7DD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1E39C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DE3FF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B60E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ABEB0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0B45B0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930A4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E436E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8A5F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Грозний Юрiй Володимирович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567F03">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36A469">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F04B4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1982</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ACA06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EB471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77745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1DA5C22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47D1228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0C214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01.05.2025</w:t>
            </w:r>
          </w:p>
          <w:p w14:paraId="521935B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10049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EEC52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3D6B329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Інші посадові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287A68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5AF5B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73440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4B1D6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33B9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E8ADB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52EE9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10CF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C7D5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FBDAF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16129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5658D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A6F59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7CADE5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6982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7A642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4D73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B6156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3007B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142D4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520D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F377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B341E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1AD59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10801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27D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36F19C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A9F0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923E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76553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Бурлака Лiдiя Олександрiвна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80056">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B60B99">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163CE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1957</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4FF8F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BDB79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86BB8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ПрАТ "Київспецмонтаж"</w:t>
            </w:r>
          </w:p>
          <w:p w14:paraId="74DF1FA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60F8E57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8CBB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25.06.2001</w:t>
            </w:r>
          </w:p>
          <w:p w14:paraId="2CAAA1C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A3B39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D387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279DF602">
      <w:pPr>
        <w:spacing w:beforeLines="0" w:afterLines="0"/>
        <w:jc w:val="left"/>
        <w:rPr>
          <w:rFonts w:hint="default" w:ascii="Times New Roman CYR" w:hAnsi="Times New Roman CYR" w:eastAsia="Times New Roman CYR"/>
          <w:sz w:val="20"/>
          <w:szCs w:val="24"/>
        </w:rPr>
      </w:pPr>
    </w:p>
    <w:p w14:paraId="5A8A70C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714F68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D048B9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1B804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20F310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51C36B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9F0337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D8DCF9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B5E9F9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728F8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2A2EB4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43057C5">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69CDC18">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3001DAC">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6F8216E">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5D699A6">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D042A35">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F75D53D">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AE4F3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2C51C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6C86DC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72825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74C1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84587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9663E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8D150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A4583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04BF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9374C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6CFFC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625EE3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94080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9087F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B4A7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Грозний Юрiй Володимирович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7C5FD1">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A95A23">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77906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C9391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0243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DCB8D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0C6EB7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F767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29EB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789B7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Дзерик Володимир Iванович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BED2D4">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2FDB64">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26F3F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1 655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76F7C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82,75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ABC27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1 655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F74DE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044732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E5D52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03BC9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Секретар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144A5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Кузнєцова Мирослава Олегiвна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1BCBA">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A1BA8">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5FDB9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88AE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12E6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688C2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04BD18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F9F45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61DA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482C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Макаренко Галина Венаминiвна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190F14">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AC4399">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FB491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3413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0,75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65AB9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3F0A0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1B482C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D7FC6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9215F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EA0C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Бурлака Лiдiя Олександрiвна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B9C11F">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07BD28">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E214E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0079E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CEB1D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7F6B7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6976B9F0">
      <w:pPr>
        <w:spacing w:beforeLines="0" w:afterLines="0"/>
        <w:jc w:val="left"/>
        <w:rPr>
          <w:rFonts w:hint="default" w:ascii="Times New Roman CYR" w:hAnsi="Times New Roman CYR" w:eastAsia="Times New Roman CYR"/>
          <w:sz w:val="20"/>
          <w:szCs w:val="24"/>
        </w:rPr>
      </w:pPr>
    </w:p>
    <w:p w14:paraId="2507CC73">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53E05700">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2FA9FBB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http://ksm.emitents.net.ua/ua/docs/?fg_id=102</w:t>
      </w:r>
    </w:p>
    <w:p w14:paraId="4CECFCF9">
      <w:pPr>
        <w:spacing w:beforeLines="0" w:afterLines="0"/>
        <w:jc w:val="left"/>
        <w:rPr>
          <w:rFonts w:hint="default" w:ascii="Times New Roman CYR" w:hAnsi="Times New Roman CYR" w:eastAsia="Times New Roman CYR"/>
          <w:sz w:val="24"/>
          <w:szCs w:val="24"/>
        </w:rPr>
      </w:pPr>
    </w:p>
    <w:p w14:paraId="7D663177">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7A5305D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http://ksm.emitents.net.ua/ua/docs/?fg_id=102</w:t>
      </w:r>
    </w:p>
    <w:p w14:paraId="45BCC898">
      <w:pPr>
        <w:spacing w:beforeLines="0" w:afterLines="0"/>
        <w:jc w:val="left"/>
        <w:rPr>
          <w:rFonts w:hint="default" w:ascii="Times New Roman CYR" w:hAnsi="Times New Roman CYR" w:eastAsia="Times New Roman CYR"/>
          <w:sz w:val="24"/>
          <w:szCs w:val="24"/>
        </w:rPr>
      </w:pPr>
    </w:p>
    <w:p w14:paraId="6D34834F">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20A8B2C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4FB8AB83">
      <w:pPr>
        <w:spacing w:beforeLines="0" w:afterLines="0"/>
        <w:rPr>
          <w:rFonts w:hint="default" w:ascii="Times New Roman CYR" w:hAnsi="Times New Roman CYR" w:eastAsia="Times New Roman CYR"/>
          <w:sz w:val="24"/>
          <w:szCs w:val="24"/>
        </w:rPr>
      </w:pPr>
    </w:p>
    <w:p w14:paraId="5F671219">
      <w:pPr>
        <w:spacing w:beforeLines="0" w:afterLines="0"/>
        <w:rPr>
          <w:rFonts w:hint="default" w:ascii="Times New Roman CYR" w:hAnsi="Times New Roman CYR" w:eastAsia="Times New Roman CYR"/>
          <w:sz w:val="24"/>
          <w:szCs w:val="24"/>
        </w:rPr>
      </w:pPr>
    </w:p>
    <w:p w14:paraId="36E20E07">
      <w:pPr>
        <w:spacing w:beforeLines="0" w:afterLines="0"/>
        <w:rPr>
          <w:rFonts w:hint="default" w:ascii="Times New Roman CYR" w:hAnsi="Times New Roman CYR" w:eastAsia="Times New Roman CYR"/>
          <w:sz w:val="24"/>
          <w:szCs w:val="24"/>
        </w:rPr>
      </w:pPr>
    </w:p>
    <w:p w14:paraId="7B52B86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6A2C7A96">
      <w:pPr>
        <w:spacing w:beforeLines="0" w:afterLines="0"/>
        <w:rPr>
          <w:rFonts w:hint="default" w:ascii="Times New Roman CYR" w:hAnsi="Times New Roman CYR" w:eastAsia="Times New Roman CYR"/>
          <w:sz w:val="24"/>
          <w:szCs w:val="24"/>
        </w:rPr>
      </w:pPr>
    </w:p>
    <w:p w14:paraId="6DA13A9B">
      <w:pPr>
        <w:spacing w:beforeLines="0" w:afterLines="0"/>
        <w:rPr>
          <w:rFonts w:hint="default" w:ascii="Times New Roman CYR" w:hAnsi="Times New Roman CYR" w:eastAsia="Times New Roman CYR"/>
          <w:sz w:val="24"/>
          <w:szCs w:val="24"/>
        </w:rPr>
      </w:pPr>
    </w:p>
    <w:p w14:paraId="77603D6E">
      <w:pPr>
        <w:spacing w:beforeLines="0" w:afterLines="0"/>
        <w:rPr>
          <w:rFonts w:hint="default" w:ascii="Times New Roman CYR" w:hAnsi="Times New Roman CYR" w:eastAsia="Times New Roman CYR"/>
          <w:sz w:val="24"/>
          <w:szCs w:val="24"/>
        </w:rPr>
      </w:pPr>
    </w:p>
    <w:p w14:paraId="58C5B5F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6DB2CE12">
      <w:pPr>
        <w:spacing w:beforeLines="0" w:afterLines="0"/>
        <w:rPr>
          <w:rFonts w:hint="default" w:ascii="Times New Roman CYR" w:hAnsi="Times New Roman CYR" w:eastAsia="Times New Roman CYR"/>
          <w:sz w:val="24"/>
          <w:szCs w:val="24"/>
        </w:rPr>
      </w:pPr>
    </w:p>
    <w:p w14:paraId="08D5A246">
      <w:pPr>
        <w:spacing w:beforeLines="0" w:afterLines="0"/>
        <w:rPr>
          <w:rFonts w:hint="default" w:ascii="Times New Roman CYR" w:hAnsi="Times New Roman CYR" w:eastAsia="Times New Roman CYR"/>
          <w:sz w:val="24"/>
          <w:szCs w:val="24"/>
        </w:rPr>
      </w:pPr>
    </w:p>
    <w:p w14:paraId="6207E3F7">
      <w:pPr>
        <w:spacing w:beforeLines="0" w:afterLines="0"/>
        <w:rPr>
          <w:rFonts w:hint="default" w:ascii="Times New Roman CYR" w:hAnsi="Times New Roman CYR" w:eastAsia="Times New Roman CYR"/>
          <w:sz w:val="24"/>
          <w:szCs w:val="24"/>
        </w:rPr>
      </w:pPr>
    </w:p>
    <w:p w14:paraId="19800A4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2F154A01">
      <w:pPr>
        <w:spacing w:beforeLines="0" w:afterLines="0"/>
        <w:rPr>
          <w:rFonts w:hint="default" w:ascii="Times New Roman CYR" w:hAnsi="Times New Roman CYR" w:eastAsia="Times New Roman CYR"/>
          <w:sz w:val="24"/>
          <w:szCs w:val="24"/>
        </w:rPr>
      </w:pPr>
    </w:p>
    <w:p w14:paraId="55EA4CB3">
      <w:pPr>
        <w:spacing w:beforeLines="0" w:afterLines="0"/>
        <w:rPr>
          <w:rFonts w:hint="default" w:ascii="Times New Roman CYR" w:hAnsi="Times New Roman CYR" w:eastAsia="Times New Roman CYR"/>
          <w:sz w:val="24"/>
          <w:szCs w:val="24"/>
        </w:rPr>
      </w:pPr>
    </w:p>
    <w:p w14:paraId="1C60E5BF">
      <w:pPr>
        <w:spacing w:beforeLines="0" w:afterLines="0"/>
        <w:rPr>
          <w:rFonts w:hint="default" w:ascii="Times New Roman CYR" w:hAnsi="Times New Roman CYR" w:eastAsia="Times New Roman CYR"/>
          <w:sz w:val="24"/>
          <w:szCs w:val="24"/>
        </w:rPr>
      </w:pPr>
    </w:p>
    <w:p w14:paraId="3A28B71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4E5414FD">
      <w:pPr>
        <w:spacing w:beforeLines="0" w:afterLines="0"/>
        <w:rPr>
          <w:rFonts w:hint="default" w:ascii="Times New Roman CYR" w:hAnsi="Times New Roman CYR" w:eastAsia="Times New Roman CYR"/>
          <w:sz w:val="24"/>
          <w:szCs w:val="24"/>
        </w:rPr>
      </w:pPr>
    </w:p>
    <w:p w14:paraId="283B2FB5">
      <w:pPr>
        <w:spacing w:beforeLines="0" w:afterLines="0"/>
        <w:rPr>
          <w:rFonts w:hint="default" w:ascii="Times New Roman CYR" w:hAnsi="Times New Roman CYR" w:eastAsia="Times New Roman CYR"/>
          <w:sz w:val="24"/>
          <w:szCs w:val="24"/>
        </w:rPr>
      </w:pPr>
    </w:p>
    <w:p w14:paraId="00C96960">
      <w:pPr>
        <w:spacing w:beforeLines="0" w:afterLines="0"/>
        <w:rPr>
          <w:rFonts w:hint="default" w:ascii="Times New Roman CYR" w:hAnsi="Times New Roman CYR" w:eastAsia="Times New Roman CYR"/>
          <w:sz w:val="24"/>
          <w:szCs w:val="24"/>
        </w:rPr>
      </w:pPr>
    </w:p>
    <w:p w14:paraId="55793BA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Застосованi принципи та методи бухгалтерського облiку ПрАТ "Київспецмонтаж", визначенi в наказi про облiкову полiтику №36 вiд "05" лютого 2020 року, вiдповiдають вимогам Нацiонального положення (стандарту) бухгалтерського облiку 1 "Загальнi вимоги до фiнансової звiтностi" та iнших НП(С)БО, що дiють станом на 31.12.2025 р., Закону України "Про бухгалтерський облiк та фiнансову звiтнiсть в Українi" вiд 16.07.99р. № 996-ХIV ( зi змiнами та доповненнями ) та iнших нормативних документiв з питань органiзацiї бухгалтерського облiку в Українi. Облiкова полiтика встановлена з використанням наступних принципiв облiку:  обачнiсть,  повне висвiтлення,  автономнiсть,  послiдовнiсть,  безперервнiсть дiяльностi,  нарахування та вiдповiдностi доходiв та витрат,  превалювання сутностi над формою,  iсторичної (фактичної собiвартостi,  єдиного грошового вимiрника,  перiодичностi. Основнi положення облiкової полiтики Товариства: Знос основних засобiв нараховується згiдно П(С)БО № 7 "Основнi засоби" та у вiдповiдностi до облiкової полiтики iз застосуванням прямолiнiйного методу за нормами корисного використання, передбачених Податковим кодексом України в розрiзi кожного окремого iнвентарного об'єкта. Амортизацiя МНМА нараховується у розмiрi 100% при передачi в експлуатацiю. Облiк вартостi запасiв ведеться за цiнами придбання. Балансова вартiсть запасiв на кiнець звiтного перiоду вiдображена в фiнансовiй звiтностi повнiстю, в розрiзi окремих класифiкацiйних груп . При списаннi запасiв, у вiдповiдностi до облiкової полiтики Товариства, застосовуються наступнi методи:  Для запасiв, якi придбанi для використання на конкретному об'єктi: метод iдентифiкованої вартостi вiдповiдної одиницi запасiв;  Для запасiв, якi використовуються у виробництвi готової продукцiї, МШП, запаснi частини, паливо: метод ФIФО. Резерв сумнiвних боргiв нараховується за методом абсолютної суми сумнiвної заборгованостi. Дебiторська заборгованiсть вiдображається в балансi по чистiй реалiзацiйнiй вартостi та вiдповiдає вимогам Положення (стандарту) №10 "Дебiторська заборгованiсть, затвердженого наказом Мiнфiну України № 237 вiд 08.10.1999 року Бухгалтерський облiк та оцiнка зобов'язань здiйснюється згiдно П(С)БО 11 "Зобов'язання та Iнструкцiї про застосування Плану рахункiв бухгалтерського облiку активiв, капiталу, зобов'язань i господарських операцiй пiдприємств i органiзацiй, затвердженої наказом Мiнфiну України вiд 30.11.1999 р. №291. Створюються наступнi резерви та забезпечення:  Резерв на виплату вiдпусток працiвникам, Резерв сумнiвних боргiв, Забезпечення витрат на охорону працi.</w:t>
      </w:r>
    </w:p>
    <w:p w14:paraId="33B84F2B">
      <w:pPr>
        <w:spacing w:beforeLines="0" w:afterLines="0"/>
        <w:rPr>
          <w:rFonts w:hint="default" w:ascii="Times New Roman CYR" w:hAnsi="Times New Roman CYR" w:eastAsia="Times New Roman CYR"/>
          <w:sz w:val="24"/>
          <w:szCs w:val="24"/>
        </w:rPr>
      </w:pPr>
    </w:p>
    <w:p w14:paraId="4CEFD3AA">
      <w:pPr>
        <w:spacing w:beforeLines="0" w:afterLines="0"/>
        <w:rPr>
          <w:rFonts w:hint="default" w:ascii="Times New Roman CYR" w:hAnsi="Times New Roman CYR" w:eastAsia="Times New Roman CYR"/>
          <w:sz w:val="24"/>
          <w:szCs w:val="24"/>
        </w:rPr>
      </w:pPr>
    </w:p>
    <w:p w14:paraId="39F7527A">
      <w:pPr>
        <w:spacing w:beforeLines="0" w:afterLines="0"/>
        <w:rPr>
          <w:rFonts w:hint="default" w:ascii="Times New Roman CYR" w:hAnsi="Times New Roman CYR" w:eastAsia="Times New Roman CYR"/>
          <w:sz w:val="24"/>
          <w:szCs w:val="24"/>
        </w:rPr>
      </w:pPr>
    </w:p>
    <w:p w14:paraId="7CD31EC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143A3924">
      <w:pPr>
        <w:spacing w:beforeLines="0" w:afterLines="0"/>
        <w:rPr>
          <w:rFonts w:hint="default" w:ascii="Times New Roman CYR" w:hAnsi="Times New Roman CYR" w:eastAsia="Times New Roman CYR"/>
          <w:sz w:val="24"/>
          <w:szCs w:val="24"/>
        </w:rPr>
      </w:pPr>
    </w:p>
    <w:p w14:paraId="180BCCB3">
      <w:pPr>
        <w:spacing w:beforeLines="0" w:afterLines="0"/>
        <w:rPr>
          <w:rFonts w:hint="default" w:ascii="Times New Roman CYR" w:hAnsi="Times New Roman CYR" w:eastAsia="Times New Roman CYR"/>
          <w:sz w:val="24"/>
          <w:szCs w:val="24"/>
        </w:rPr>
      </w:pPr>
    </w:p>
    <w:p w14:paraId="2017098F">
      <w:pPr>
        <w:spacing w:beforeLines="0" w:afterLines="0"/>
        <w:rPr>
          <w:rFonts w:hint="default" w:ascii="Times New Roman CYR" w:hAnsi="Times New Roman CYR" w:eastAsia="Times New Roman CYR"/>
          <w:sz w:val="24"/>
          <w:szCs w:val="24"/>
        </w:rPr>
      </w:pPr>
    </w:p>
    <w:p w14:paraId="407877E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Фiнансова полiтика базується на використаннi  власних коштiв для забезпечення стабiльної дiяльностi та покриття поточних зобов'язань. Робочий капiтал пiдтримується на рiвнi, достатньому для безперервного функцiонування. Покращення лiквiдностi досягається оптимiзацiєю дебiторської заборгованостi, контролем залишкiв ТМЦ . Прiоритет надається власним джерелам (чистий прибуток) для фiнансування операцiйної дiяльностi.</w:t>
      </w:r>
    </w:p>
    <w:p w14:paraId="7943EF7A">
      <w:pPr>
        <w:spacing w:beforeLines="0" w:afterLines="0"/>
        <w:rPr>
          <w:rFonts w:hint="default" w:ascii="Times New Roman CYR" w:hAnsi="Times New Roman CYR" w:eastAsia="Times New Roman CYR"/>
          <w:sz w:val="24"/>
          <w:szCs w:val="24"/>
        </w:rPr>
      </w:pPr>
    </w:p>
    <w:p w14:paraId="20494125">
      <w:pPr>
        <w:spacing w:beforeLines="0" w:afterLines="0"/>
        <w:rPr>
          <w:rFonts w:hint="default" w:ascii="Times New Roman CYR" w:hAnsi="Times New Roman CYR" w:eastAsia="Times New Roman CYR"/>
          <w:sz w:val="24"/>
          <w:szCs w:val="24"/>
        </w:rPr>
      </w:pPr>
    </w:p>
    <w:p w14:paraId="6CCAE8F5">
      <w:pPr>
        <w:spacing w:beforeLines="0" w:afterLines="0"/>
        <w:rPr>
          <w:rFonts w:hint="default" w:ascii="Times New Roman CYR" w:hAnsi="Times New Roman CYR" w:eastAsia="Times New Roman CYR"/>
          <w:sz w:val="24"/>
          <w:szCs w:val="24"/>
        </w:rPr>
      </w:pPr>
    </w:p>
    <w:p w14:paraId="7383A2A0">
      <w:pPr>
        <w:spacing w:beforeLines="0" w:afterLines="0"/>
        <w:rPr>
          <w:rFonts w:hint="default" w:ascii="Times New Roman CYR" w:hAnsi="Times New Roman CYR" w:eastAsia="Times New Roman CYR"/>
          <w:sz w:val="24"/>
          <w:szCs w:val="24"/>
        </w:rPr>
      </w:pPr>
    </w:p>
    <w:p w14:paraId="465123B2">
      <w:pPr>
        <w:spacing w:beforeLines="0" w:afterLines="0"/>
        <w:rPr>
          <w:rFonts w:hint="default" w:ascii="Times New Roman CYR" w:hAnsi="Times New Roman CYR" w:eastAsia="Times New Roman CYR"/>
          <w:sz w:val="24"/>
          <w:szCs w:val="24"/>
        </w:rPr>
      </w:pPr>
    </w:p>
    <w:p w14:paraId="138E2BA5">
      <w:pPr>
        <w:spacing w:beforeLines="0" w:afterLines="0"/>
        <w:rPr>
          <w:rFonts w:hint="default" w:ascii="Times New Roman CYR" w:hAnsi="Times New Roman CYR" w:eastAsia="Times New Roman CYR"/>
          <w:sz w:val="24"/>
          <w:szCs w:val="24"/>
        </w:rPr>
      </w:pPr>
    </w:p>
    <w:p w14:paraId="0B686360">
      <w:pPr>
        <w:spacing w:beforeLines="0" w:afterLines="0"/>
        <w:rPr>
          <w:rFonts w:hint="default" w:ascii="Times New Roman CYR" w:hAnsi="Times New Roman CYR" w:eastAsia="Times New Roman CYR"/>
          <w:sz w:val="24"/>
          <w:szCs w:val="24"/>
        </w:rPr>
      </w:pPr>
    </w:p>
    <w:p w14:paraId="47A5AEA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265EE329">
      <w:pPr>
        <w:spacing w:beforeLines="0" w:afterLines="0"/>
        <w:rPr>
          <w:rFonts w:hint="default" w:ascii="Times New Roman CYR" w:hAnsi="Times New Roman CYR" w:eastAsia="Times New Roman CYR"/>
          <w:sz w:val="24"/>
          <w:szCs w:val="24"/>
        </w:rPr>
      </w:pPr>
    </w:p>
    <w:p w14:paraId="7B8A64F0">
      <w:pPr>
        <w:spacing w:beforeLines="0" w:afterLines="0"/>
        <w:rPr>
          <w:rFonts w:hint="default" w:ascii="Times New Roman CYR" w:hAnsi="Times New Roman CYR" w:eastAsia="Times New Roman CYR"/>
          <w:sz w:val="24"/>
          <w:szCs w:val="24"/>
        </w:rPr>
      </w:pPr>
    </w:p>
    <w:p w14:paraId="5B4EB753">
      <w:pPr>
        <w:spacing w:beforeLines="0" w:afterLines="0"/>
        <w:rPr>
          <w:rFonts w:hint="default" w:ascii="Times New Roman CYR" w:hAnsi="Times New Roman CYR" w:eastAsia="Times New Roman CYR"/>
          <w:sz w:val="24"/>
          <w:szCs w:val="24"/>
        </w:rPr>
      </w:pPr>
    </w:p>
    <w:p w14:paraId="03E0105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392BB496">
      <w:pPr>
        <w:spacing w:beforeLines="0" w:afterLines="0"/>
        <w:rPr>
          <w:rFonts w:hint="default" w:ascii="Times New Roman CYR" w:hAnsi="Times New Roman CYR" w:eastAsia="Times New Roman CYR"/>
          <w:sz w:val="24"/>
          <w:szCs w:val="24"/>
        </w:rPr>
      </w:pPr>
    </w:p>
    <w:p w14:paraId="603CE8F3">
      <w:pPr>
        <w:spacing w:beforeLines="0" w:afterLines="0"/>
        <w:rPr>
          <w:rFonts w:hint="default" w:ascii="Times New Roman CYR" w:hAnsi="Times New Roman CYR" w:eastAsia="Times New Roman CYR"/>
          <w:sz w:val="24"/>
          <w:szCs w:val="24"/>
        </w:rPr>
      </w:pPr>
    </w:p>
    <w:p w14:paraId="5C962848">
      <w:pPr>
        <w:spacing w:beforeLines="0" w:afterLines="0"/>
        <w:rPr>
          <w:rFonts w:hint="default" w:ascii="Times New Roman CYR" w:hAnsi="Times New Roman CYR" w:eastAsia="Times New Roman CYR"/>
          <w:sz w:val="24"/>
          <w:szCs w:val="24"/>
        </w:rPr>
      </w:pPr>
    </w:p>
    <w:p w14:paraId="663E4F7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2A8D66C5">
      <w:pPr>
        <w:spacing w:beforeLines="0" w:afterLines="0"/>
        <w:rPr>
          <w:rFonts w:hint="default" w:ascii="Times New Roman CYR" w:hAnsi="Times New Roman CYR" w:eastAsia="Times New Roman CYR"/>
          <w:sz w:val="24"/>
          <w:szCs w:val="24"/>
        </w:rPr>
      </w:pPr>
    </w:p>
    <w:p w14:paraId="4E49F7D2">
      <w:pPr>
        <w:spacing w:beforeLines="0" w:afterLines="0"/>
        <w:rPr>
          <w:rFonts w:hint="default" w:ascii="Times New Roman CYR" w:hAnsi="Times New Roman CYR" w:eastAsia="Times New Roman CYR"/>
          <w:sz w:val="24"/>
          <w:szCs w:val="24"/>
        </w:rPr>
      </w:pPr>
    </w:p>
    <w:p w14:paraId="3E647CF5">
      <w:pPr>
        <w:spacing w:beforeLines="0" w:afterLines="0"/>
        <w:rPr>
          <w:rFonts w:hint="default" w:ascii="Times New Roman CYR" w:hAnsi="Times New Roman CYR" w:eastAsia="Times New Roman CYR"/>
          <w:sz w:val="24"/>
          <w:szCs w:val="24"/>
        </w:rPr>
      </w:pPr>
    </w:p>
    <w:p w14:paraId="62C5C15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32DBC8C3">
      <w:pPr>
        <w:spacing w:beforeLines="0" w:afterLines="0"/>
        <w:rPr>
          <w:rFonts w:hint="default" w:ascii="Times New Roman CYR" w:hAnsi="Times New Roman CYR" w:eastAsia="Times New Roman CYR"/>
          <w:sz w:val="24"/>
          <w:szCs w:val="24"/>
        </w:rPr>
      </w:pPr>
    </w:p>
    <w:p w14:paraId="6139057A">
      <w:pPr>
        <w:spacing w:beforeLines="0" w:afterLines="0"/>
        <w:rPr>
          <w:rFonts w:hint="default" w:ascii="Times New Roman CYR" w:hAnsi="Times New Roman CYR" w:eastAsia="Times New Roman CYR"/>
          <w:sz w:val="24"/>
          <w:szCs w:val="24"/>
        </w:rPr>
      </w:pPr>
    </w:p>
    <w:p w14:paraId="7BBA86AB">
      <w:pPr>
        <w:spacing w:beforeLines="0" w:afterLines="0"/>
        <w:rPr>
          <w:rFonts w:hint="default" w:ascii="Times New Roman CYR" w:hAnsi="Times New Roman CYR" w:eastAsia="Times New Roman CYR"/>
          <w:sz w:val="24"/>
          <w:szCs w:val="24"/>
        </w:rPr>
      </w:pPr>
    </w:p>
    <w:p w14:paraId="029467E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займається монтажем водопровiдних мереж, систем опалення та кондицiонування. Також видами дiяльностi є: Дiяльнiсть посередникiв у торгiвлi машинами, промисловим устаткуванням, суднами i лiтаками та Надання в оренду й експлуатацiю власного чи орендованого нерухомого майна.</w:t>
      </w:r>
    </w:p>
    <w:p w14:paraId="73E7F30E">
      <w:pPr>
        <w:spacing w:beforeLines="0" w:afterLines="0"/>
        <w:rPr>
          <w:rFonts w:hint="default" w:ascii="Times New Roman CYR" w:hAnsi="Times New Roman CYR" w:eastAsia="Times New Roman CYR"/>
          <w:sz w:val="24"/>
          <w:szCs w:val="24"/>
        </w:rPr>
      </w:pPr>
    </w:p>
    <w:p w14:paraId="2AB6C6C4">
      <w:pPr>
        <w:spacing w:beforeLines="0" w:afterLines="0"/>
        <w:rPr>
          <w:rFonts w:hint="default" w:ascii="Times New Roman CYR" w:hAnsi="Times New Roman CYR" w:eastAsia="Times New Roman CYR"/>
          <w:sz w:val="24"/>
          <w:szCs w:val="24"/>
        </w:rPr>
      </w:pPr>
    </w:p>
    <w:p w14:paraId="21669E54">
      <w:pPr>
        <w:spacing w:beforeLines="0" w:afterLines="0"/>
        <w:rPr>
          <w:rFonts w:hint="default" w:ascii="Times New Roman CYR" w:hAnsi="Times New Roman CYR" w:eastAsia="Times New Roman CYR"/>
          <w:sz w:val="24"/>
          <w:szCs w:val="24"/>
        </w:rPr>
      </w:pPr>
    </w:p>
    <w:p w14:paraId="530566C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7E06F07D">
      <w:pPr>
        <w:spacing w:beforeLines="0" w:afterLines="0"/>
        <w:rPr>
          <w:rFonts w:hint="default" w:ascii="Times New Roman CYR" w:hAnsi="Times New Roman CYR" w:eastAsia="Times New Roman CYR"/>
          <w:sz w:val="24"/>
          <w:szCs w:val="24"/>
        </w:rPr>
      </w:pPr>
    </w:p>
    <w:p w14:paraId="485C99D2">
      <w:pPr>
        <w:spacing w:beforeLines="0" w:afterLines="0"/>
        <w:rPr>
          <w:rFonts w:hint="default" w:ascii="Times New Roman CYR" w:hAnsi="Times New Roman CYR" w:eastAsia="Times New Roman CYR"/>
          <w:sz w:val="24"/>
          <w:szCs w:val="24"/>
        </w:rPr>
      </w:pPr>
    </w:p>
    <w:p w14:paraId="27972303">
      <w:pPr>
        <w:spacing w:beforeLines="0" w:afterLines="0"/>
        <w:rPr>
          <w:rFonts w:hint="default" w:ascii="Times New Roman CYR" w:hAnsi="Times New Roman CYR" w:eastAsia="Times New Roman CYR"/>
          <w:sz w:val="24"/>
          <w:szCs w:val="24"/>
        </w:rPr>
      </w:pPr>
    </w:p>
    <w:p w14:paraId="4E6C542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Монтаж водопровiдних мереж,систем опалення та кондицiонування - 41163 тис. грн..</w:t>
      </w:r>
    </w:p>
    <w:p w14:paraId="5F8E118C">
      <w:pPr>
        <w:spacing w:beforeLines="0" w:afterLines="0"/>
        <w:rPr>
          <w:rFonts w:hint="default" w:ascii="Times New Roman CYR" w:hAnsi="Times New Roman CYR" w:eastAsia="Times New Roman CYR"/>
          <w:sz w:val="24"/>
          <w:szCs w:val="24"/>
        </w:rPr>
      </w:pPr>
    </w:p>
    <w:p w14:paraId="491E84C8">
      <w:pPr>
        <w:spacing w:beforeLines="0" w:afterLines="0"/>
        <w:rPr>
          <w:rFonts w:hint="default" w:ascii="Times New Roman CYR" w:hAnsi="Times New Roman CYR" w:eastAsia="Times New Roman CYR"/>
          <w:sz w:val="24"/>
          <w:szCs w:val="24"/>
        </w:rPr>
      </w:pPr>
    </w:p>
    <w:p w14:paraId="52327D45">
      <w:pPr>
        <w:spacing w:beforeLines="0" w:afterLines="0"/>
        <w:rPr>
          <w:rFonts w:hint="default" w:ascii="Times New Roman CYR" w:hAnsi="Times New Roman CYR" w:eastAsia="Times New Roman CYR"/>
          <w:sz w:val="24"/>
          <w:szCs w:val="24"/>
        </w:rPr>
      </w:pPr>
    </w:p>
    <w:p w14:paraId="690EE1A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посередникiв у торгiвлi машинами, промисловим устаткуванням, суднами i лiтаками - 1286 тис. грн.</w:t>
      </w:r>
    </w:p>
    <w:p w14:paraId="3E840CEB">
      <w:pPr>
        <w:spacing w:beforeLines="0" w:afterLines="0"/>
        <w:rPr>
          <w:rFonts w:hint="default" w:ascii="Times New Roman CYR" w:hAnsi="Times New Roman CYR" w:eastAsia="Times New Roman CYR"/>
          <w:sz w:val="24"/>
          <w:szCs w:val="24"/>
        </w:rPr>
      </w:pPr>
    </w:p>
    <w:p w14:paraId="2A8BFBFD">
      <w:pPr>
        <w:spacing w:beforeLines="0" w:afterLines="0"/>
        <w:rPr>
          <w:rFonts w:hint="default" w:ascii="Times New Roman CYR" w:hAnsi="Times New Roman CYR" w:eastAsia="Times New Roman CYR"/>
          <w:sz w:val="24"/>
          <w:szCs w:val="24"/>
        </w:rPr>
      </w:pPr>
    </w:p>
    <w:p w14:paraId="7B03E4D9">
      <w:pPr>
        <w:spacing w:beforeLines="0" w:afterLines="0"/>
        <w:rPr>
          <w:rFonts w:hint="default" w:ascii="Times New Roman CYR" w:hAnsi="Times New Roman CYR" w:eastAsia="Times New Roman CYR"/>
          <w:sz w:val="24"/>
          <w:szCs w:val="24"/>
        </w:rPr>
      </w:pPr>
    </w:p>
    <w:p w14:paraId="4AB374F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Купiвля i продаж власного нерухомого майна 3591 тис.грн.</w:t>
      </w:r>
    </w:p>
    <w:p w14:paraId="27D8DF6A">
      <w:pPr>
        <w:spacing w:beforeLines="0" w:afterLines="0"/>
        <w:rPr>
          <w:rFonts w:hint="default" w:ascii="Times New Roman CYR" w:hAnsi="Times New Roman CYR" w:eastAsia="Times New Roman CYR"/>
          <w:sz w:val="24"/>
          <w:szCs w:val="24"/>
        </w:rPr>
      </w:pPr>
    </w:p>
    <w:p w14:paraId="7977516C">
      <w:pPr>
        <w:spacing w:beforeLines="0" w:afterLines="0"/>
        <w:rPr>
          <w:rFonts w:hint="default" w:ascii="Times New Roman CYR" w:hAnsi="Times New Roman CYR" w:eastAsia="Times New Roman CYR"/>
          <w:sz w:val="24"/>
          <w:szCs w:val="24"/>
        </w:rPr>
      </w:pPr>
    </w:p>
    <w:p w14:paraId="0E170808">
      <w:pPr>
        <w:spacing w:beforeLines="0" w:afterLines="0"/>
        <w:rPr>
          <w:rFonts w:hint="default" w:ascii="Times New Roman CYR" w:hAnsi="Times New Roman CYR" w:eastAsia="Times New Roman CYR"/>
          <w:sz w:val="24"/>
          <w:szCs w:val="24"/>
        </w:rPr>
      </w:pPr>
    </w:p>
    <w:p w14:paraId="0F8D23E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Надання в оренду й експлуатацiю власного чи орендованого нерухомого майна - 2455 тис.грн.  </w:t>
      </w:r>
    </w:p>
    <w:p w14:paraId="2ED0977F">
      <w:pPr>
        <w:spacing w:beforeLines="0" w:afterLines="0"/>
        <w:rPr>
          <w:rFonts w:hint="default" w:ascii="Times New Roman CYR" w:hAnsi="Times New Roman CYR" w:eastAsia="Times New Roman CYR"/>
          <w:sz w:val="24"/>
          <w:szCs w:val="24"/>
        </w:rPr>
      </w:pPr>
    </w:p>
    <w:p w14:paraId="4366C0E5">
      <w:pPr>
        <w:spacing w:beforeLines="0" w:afterLines="0"/>
        <w:rPr>
          <w:rFonts w:hint="default" w:ascii="Times New Roman CYR" w:hAnsi="Times New Roman CYR" w:eastAsia="Times New Roman CYR"/>
          <w:sz w:val="24"/>
          <w:szCs w:val="24"/>
        </w:rPr>
      </w:pPr>
    </w:p>
    <w:p w14:paraId="6F43FB98">
      <w:pPr>
        <w:spacing w:beforeLines="0" w:afterLines="0"/>
        <w:rPr>
          <w:rFonts w:hint="default" w:ascii="Times New Roman CYR" w:hAnsi="Times New Roman CYR" w:eastAsia="Times New Roman CYR"/>
          <w:sz w:val="24"/>
          <w:szCs w:val="24"/>
        </w:rPr>
      </w:pPr>
    </w:p>
    <w:p w14:paraId="2ED07AD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3)середньореалiзацiйнi цiни продуктiв.   </w:t>
      </w:r>
    </w:p>
    <w:p w14:paraId="4767D2CD">
      <w:pPr>
        <w:spacing w:beforeLines="0" w:afterLines="0"/>
        <w:rPr>
          <w:rFonts w:hint="default" w:ascii="Times New Roman CYR" w:hAnsi="Times New Roman CYR" w:eastAsia="Times New Roman CYR"/>
          <w:sz w:val="24"/>
          <w:szCs w:val="24"/>
        </w:rPr>
      </w:pPr>
    </w:p>
    <w:p w14:paraId="219F2184">
      <w:pPr>
        <w:spacing w:beforeLines="0" w:afterLines="0"/>
        <w:rPr>
          <w:rFonts w:hint="default" w:ascii="Times New Roman CYR" w:hAnsi="Times New Roman CYR" w:eastAsia="Times New Roman CYR"/>
          <w:sz w:val="24"/>
          <w:szCs w:val="24"/>
        </w:rPr>
      </w:pPr>
    </w:p>
    <w:p w14:paraId="4734F27F">
      <w:pPr>
        <w:spacing w:beforeLines="0" w:afterLines="0"/>
        <w:rPr>
          <w:rFonts w:hint="default" w:ascii="Times New Roman CYR" w:hAnsi="Times New Roman CYR" w:eastAsia="Times New Roman CYR"/>
          <w:sz w:val="24"/>
          <w:szCs w:val="24"/>
        </w:rPr>
      </w:pPr>
    </w:p>
    <w:p w14:paraId="37C13F5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займається монтажними роботами.  Середньореалiзацiйнi цiни продуктiв не визначалися.</w:t>
      </w:r>
    </w:p>
    <w:p w14:paraId="0C3ABBC0">
      <w:pPr>
        <w:spacing w:beforeLines="0" w:afterLines="0"/>
        <w:rPr>
          <w:rFonts w:hint="default" w:ascii="Times New Roman CYR" w:hAnsi="Times New Roman CYR" w:eastAsia="Times New Roman CYR"/>
          <w:sz w:val="24"/>
          <w:szCs w:val="24"/>
        </w:rPr>
      </w:pPr>
    </w:p>
    <w:p w14:paraId="59E64339">
      <w:pPr>
        <w:spacing w:beforeLines="0" w:afterLines="0"/>
        <w:rPr>
          <w:rFonts w:hint="default" w:ascii="Times New Roman CYR" w:hAnsi="Times New Roman CYR" w:eastAsia="Times New Roman CYR"/>
          <w:sz w:val="24"/>
          <w:szCs w:val="24"/>
        </w:rPr>
      </w:pPr>
    </w:p>
    <w:p w14:paraId="27C32908">
      <w:pPr>
        <w:spacing w:beforeLines="0" w:afterLines="0"/>
        <w:rPr>
          <w:rFonts w:hint="default" w:ascii="Times New Roman CYR" w:hAnsi="Times New Roman CYR" w:eastAsia="Times New Roman CYR"/>
          <w:sz w:val="24"/>
          <w:szCs w:val="24"/>
        </w:rPr>
      </w:pPr>
    </w:p>
    <w:p w14:paraId="550D54A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75386181">
      <w:pPr>
        <w:spacing w:beforeLines="0" w:afterLines="0"/>
        <w:rPr>
          <w:rFonts w:hint="default" w:ascii="Times New Roman CYR" w:hAnsi="Times New Roman CYR" w:eastAsia="Times New Roman CYR"/>
          <w:sz w:val="24"/>
          <w:szCs w:val="24"/>
        </w:rPr>
      </w:pPr>
    </w:p>
    <w:p w14:paraId="7C6F16B4">
      <w:pPr>
        <w:spacing w:beforeLines="0" w:afterLines="0"/>
        <w:rPr>
          <w:rFonts w:hint="default" w:ascii="Times New Roman CYR" w:hAnsi="Times New Roman CYR" w:eastAsia="Times New Roman CYR"/>
          <w:sz w:val="24"/>
          <w:szCs w:val="24"/>
        </w:rPr>
      </w:pPr>
    </w:p>
    <w:p w14:paraId="638B9592">
      <w:pPr>
        <w:spacing w:beforeLines="0" w:afterLines="0"/>
        <w:rPr>
          <w:rFonts w:hint="default" w:ascii="Times New Roman CYR" w:hAnsi="Times New Roman CYR" w:eastAsia="Times New Roman CYR"/>
          <w:sz w:val="24"/>
          <w:szCs w:val="24"/>
        </w:rPr>
      </w:pPr>
    </w:p>
    <w:p w14:paraId="3AB083A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розмiр доходу за звiтний рiк 48495 тис.грн.</w:t>
      </w:r>
    </w:p>
    <w:p w14:paraId="0716E8C7">
      <w:pPr>
        <w:spacing w:beforeLines="0" w:afterLines="0"/>
        <w:rPr>
          <w:rFonts w:hint="default" w:ascii="Times New Roman CYR" w:hAnsi="Times New Roman CYR" w:eastAsia="Times New Roman CYR"/>
          <w:sz w:val="24"/>
          <w:szCs w:val="24"/>
        </w:rPr>
      </w:pPr>
    </w:p>
    <w:p w14:paraId="7BF1ABCD">
      <w:pPr>
        <w:spacing w:beforeLines="0" w:afterLines="0"/>
        <w:rPr>
          <w:rFonts w:hint="default" w:ascii="Times New Roman CYR" w:hAnsi="Times New Roman CYR" w:eastAsia="Times New Roman CYR"/>
          <w:sz w:val="24"/>
          <w:szCs w:val="24"/>
        </w:rPr>
      </w:pPr>
    </w:p>
    <w:p w14:paraId="3582339B">
      <w:pPr>
        <w:spacing w:beforeLines="0" w:afterLines="0"/>
        <w:rPr>
          <w:rFonts w:hint="default" w:ascii="Times New Roman CYR" w:hAnsi="Times New Roman CYR" w:eastAsia="Times New Roman CYR"/>
          <w:sz w:val="24"/>
          <w:szCs w:val="24"/>
        </w:rPr>
      </w:pPr>
    </w:p>
    <w:p w14:paraId="12FBAE9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1EDE35C4">
      <w:pPr>
        <w:spacing w:beforeLines="0" w:afterLines="0"/>
        <w:rPr>
          <w:rFonts w:hint="default" w:ascii="Times New Roman CYR" w:hAnsi="Times New Roman CYR" w:eastAsia="Times New Roman CYR"/>
          <w:sz w:val="24"/>
          <w:szCs w:val="24"/>
        </w:rPr>
      </w:pPr>
    </w:p>
    <w:p w14:paraId="0E2115B7">
      <w:pPr>
        <w:spacing w:beforeLines="0" w:afterLines="0"/>
        <w:rPr>
          <w:rFonts w:hint="default" w:ascii="Times New Roman CYR" w:hAnsi="Times New Roman CYR" w:eastAsia="Times New Roman CYR"/>
          <w:sz w:val="24"/>
          <w:szCs w:val="24"/>
        </w:rPr>
      </w:pPr>
    </w:p>
    <w:p w14:paraId="4D321E78">
      <w:pPr>
        <w:spacing w:beforeLines="0" w:afterLines="0"/>
        <w:rPr>
          <w:rFonts w:hint="default" w:ascii="Times New Roman CYR" w:hAnsi="Times New Roman CYR" w:eastAsia="Times New Roman CYR"/>
          <w:sz w:val="24"/>
          <w:szCs w:val="24"/>
        </w:rPr>
      </w:pPr>
    </w:p>
    <w:p w14:paraId="57E0D0A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36121642">
      <w:pPr>
        <w:spacing w:beforeLines="0" w:afterLines="0"/>
        <w:rPr>
          <w:rFonts w:hint="default" w:ascii="Times New Roman CYR" w:hAnsi="Times New Roman CYR" w:eastAsia="Times New Roman CYR"/>
          <w:sz w:val="24"/>
          <w:szCs w:val="24"/>
        </w:rPr>
      </w:pPr>
    </w:p>
    <w:p w14:paraId="4B60EE62">
      <w:pPr>
        <w:spacing w:beforeLines="0" w:afterLines="0"/>
        <w:rPr>
          <w:rFonts w:hint="default" w:ascii="Times New Roman CYR" w:hAnsi="Times New Roman CYR" w:eastAsia="Times New Roman CYR"/>
          <w:sz w:val="24"/>
          <w:szCs w:val="24"/>
        </w:rPr>
      </w:pPr>
    </w:p>
    <w:p w14:paraId="34269BA3">
      <w:pPr>
        <w:spacing w:beforeLines="0" w:afterLines="0"/>
        <w:rPr>
          <w:rFonts w:hint="default" w:ascii="Times New Roman CYR" w:hAnsi="Times New Roman CYR" w:eastAsia="Times New Roman CYR"/>
          <w:sz w:val="24"/>
          <w:szCs w:val="24"/>
        </w:rPr>
      </w:pPr>
    </w:p>
    <w:p w14:paraId="38B6A39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63C00BBD">
      <w:pPr>
        <w:spacing w:beforeLines="0" w:afterLines="0"/>
        <w:rPr>
          <w:rFonts w:hint="default" w:ascii="Times New Roman CYR" w:hAnsi="Times New Roman CYR" w:eastAsia="Times New Roman CYR"/>
          <w:sz w:val="24"/>
          <w:szCs w:val="24"/>
        </w:rPr>
      </w:pPr>
    </w:p>
    <w:p w14:paraId="4A897883">
      <w:pPr>
        <w:spacing w:beforeLines="0" w:afterLines="0"/>
        <w:rPr>
          <w:rFonts w:hint="default" w:ascii="Times New Roman CYR" w:hAnsi="Times New Roman CYR" w:eastAsia="Times New Roman CYR"/>
          <w:sz w:val="24"/>
          <w:szCs w:val="24"/>
        </w:rPr>
      </w:pPr>
    </w:p>
    <w:p w14:paraId="28EFF25F">
      <w:pPr>
        <w:spacing w:beforeLines="0" w:afterLines="0"/>
        <w:rPr>
          <w:rFonts w:hint="default" w:ascii="Times New Roman CYR" w:hAnsi="Times New Roman CYR" w:eastAsia="Times New Roman CYR"/>
          <w:sz w:val="24"/>
          <w:szCs w:val="24"/>
        </w:rPr>
      </w:pPr>
    </w:p>
    <w:p w14:paraId="2739714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66A4B24D">
      <w:pPr>
        <w:spacing w:beforeLines="0" w:afterLines="0"/>
        <w:rPr>
          <w:rFonts w:hint="default" w:ascii="Times New Roman CYR" w:hAnsi="Times New Roman CYR" w:eastAsia="Times New Roman CYR"/>
          <w:sz w:val="24"/>
          <w:szCs w:val="24"/>
        </w:rPr>
      </w:pPr>
    </w:p>
    <w:p w14:paraId="15C8F479">
      <w:pPr>
        <w:spacing w:beforeLines="0" w:afterLines="0"/>
        <w:rPr>
          <w:rFonts w:hint="default" w:ascii="Times New Roman CYR" w:hAnsi="Times New Roman CYR" w:eastAsia="Times New Roman CYR"/>
          <w:sz w:val="24"/>
          <w:szCs w:val="24"/>
        </w:rPr>
      </w:pPr>
    </w:p>
    <w:p w14:paraId="55292AB0">
      <w:pPr>
        <w:spacing w:beforeLines="0" w:afterLines="0"/>
        <w:rPr>
          <w:rFonts w:hint="default" w:ascii="Times New Roman CYR" w:hAnsi="Times New Roman CYR" w:eastAsia="Times New Roman CYR"/>
          <w:sz w:val="24"/>
          <w:szCs w:val="24"/>
        </w:rPr>
      </w:pPr>
    </w:p>
    <w:p w14:paraId="7D0621E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  Основними клiєнтами в 2025р. були ТОВ "СЕНС.БУД",  ТОВ    "ТАВРОС КОНТРАКШН", ТОВ "ЮНIБIЛД".</w:t>
      </w:r>
    </w:p>
    <w:p w14:paraId="247989B8">
      <w:pPr>
        <w:spacing w:beforeLines="0" w:afterLines="0"/>
        <w:rPr>
          <w:rFonts w:hint="default" w:ascii="Times New Roman CYR" w:hAnsi="Times New Roman CYR" w:eastAsia="Times New Roman CYR"/>
          <w:sz w:val="24"/>
          <w:szCs w:val="24"/>
        </w:rPr>
      </w:pPr>
    </w:p>
    <w:p w14:paraId="0B70EB1C">
      <w:pPr>
        <w:spacing w:beforeLines="0" w:afterLines="0"/>
        <w:rPr>
          <w:rFonts w:hint="default" w:ascii="Times New Roman CYR" w:hAnsi="Times New Roman CYR" w:eastAsia="Times New Roman CYR"/>
          <w:sz w:val="24"/>
          <w:szCs w:val="24"/>
        </w:rPr>
      </w:pPr>
    </w:p>
    <w:p w14:paraId="457CDE6F">
      <w:pPr>
        <w:spacing w:beforeLines="0" w:afterLines="0"/>
        <w:rPr>
          <w:rFonts w:hint="default" w:ascii="Times New Roman CYR" w:hAnsi="Times New Roman CYR" w:eastAsia="Times New Roman CYR"/>
          <w:sz w:val="24"/>
          <w:szCs w:val="24"/>
        </w:rPr>
      </w:pPr>
    </w:p>
    <w:p w14:paraId="1BA199B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8) ринки збуту та країни, в яких особою здiйснюється дiяльнiсть.  </w:t>
      </w:r>
    </w:p>
    <w:p w14:paraId="60EC08FA">
      <w:pPr>
        <w:spacing w:beforeLines="0" w:afterLines="0"/>
        <w:rPr>
          <w:rFonts w:hint="default" w:ascii="Times New Roman CYR" w:hAnsi="Times New Roman CYR" w:eastAsia="Times New Roman CYR"/>
          <w:sz w:val="24"/>
          <w:szCs w:val="24"/>
        </w:rPr>
      </w:pPr>
    </w:p>
    <w:p w14:paraId="1C96F2E5">
      <w:pPr>
        <w:spacing w:beforeLines="0" w:afterLines="0"/>
        <w:rPr>
          <w:rFonts w:hint="default" w:ascii="Times New Roman CYR" w:hAnsi="Times New Roman CYR" w:eastAsia="Times New Roman CYR"/>
          <w:sz w:val="24"/>
          <w:szCs w:val="24"/>
        </w:rPr>
      </w:pPr>
    </w:p>
    <w:p w14:paraId="0EEDECA6">
      <w:pPr>
        <w:spacing w:beforeLines="0" w:afterLines="0"/>
        <w:rPr>
          <w:rFonts w:hint="default" w:ascii="Times New Roman CYR" w:hAnsi="Times New Roman CYR" w:eastAsia="Times New Roman CYR"/>
          <w:sz w:val="24"/>
          <w:szCs w:val="24"/>
        </w:rPr>
      </w:pPr>
    </w:p>
    <w:p w14:paraId="601CBEC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здiйснює дiяльнiсть на територiї України.</w:t>
      </w:r>
    </w:p>
    <w:p w14:paraId="5ECF7B92">
      <w:pPr>
        <w:spacing w:beforeLines="0" w:afterLines="0"/>
        <w:rPr>
          <w:rFonts w:hint="default" w:ascii="Times New Roman CYR" w:hAnsi="Times New Roman CYR" w:eastAsia="Times New Roman CYR"/>
          <w:sz w:val="24"/>
          <w:szCs w:val="24"/>
        </w:rPr>
      </w:pPr>
    </w:p>
    <w:p w14:paraId="45956292">
      <w:pPr>
        <w:spacing w:beforeLines="0" w:afterLines="0"/>
        <w:rPr>
          <w:rFonts w:hint="default" w:ascii="Times New Roman CYR" w:hAnsi="Times New Roman CYR" w:eastAsia="Times New Roman CYR"/>
          <w:sz w:val="24"/>
          <w:szCs w:val="24"/>
        </w:rPr>
      </w:pPr>
    </w:p>
    <w:p w14:paraId="5695EEE2">
      <w:pPr>
        <w:spacing w:beforeLines="0" w:afterLines="0"/>
        <w:rPr>
          <w:rFonts w:hint="default" w:ascii="Times New Roman CYR" w:hAnsi="Times New Roman CYR" w:eastAsia="Times New Roman CYR"/>
          <w:sz w:val="24"/>
          <w:szCs w:val="24"/>
        </w:rPr>
      </w:pPr>
    </w:p>
    <w:p w14:paraId="1DFB586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9)канали збуту.  </w:t>
      </w:r>
    </w:p>
    <w:p w14:paraId="548ED0F0">
      <w:pPr>
        <w:spacing w:beforeLines="0" w:afterLines="0"/>
        <w:rPr>
          <w:rFonts w:hint="default" w:ascii="Times New Roman CYR" w:hAnsi="Times New Roman CYR" w:eastAsia="Times New Roman CYR"/>
          <w:sz w:val="24"/>
          <w:szCs w:val="24"/>
        </w:rPr>
      </w:pPr>
    </w:p>
    <w:p w14:paraId="438B6543">
      <w:pPr>
        <w:spacing w:beforeLines="0" w:afterLines="0"/>
        <w:rPr>
          <w:rFonts w:hint="default" w:ascii="Times New Roman CYR" w:hAnsi="Times New Roman CYR" w:eastAsia="Times New Roman CYR"/>
          <w:sz w:val="24"/>
          <w:szCs w:val="24"/>
        </w:rPr>
      </w:pPr>
    </w:p>
    <w:p w14:paraId="38D4474C">
      <w:pPr>
        <w:spacing w:beforeLines="0" w:afterLines="0"/>
        <w:rPr>
          <w:rFonts w:hint="default" w:ascii="Times New Roman CYR" w:hAnsi="Times New Roman CYR" w:eastAsia="Times New Roman CYR"/>
          <w:sz w:val="24"/>
          <w:szCs w:val="24"/>
        </w:rPr>
      </w:pPr>
    </w:p>
    <w:p w14:paraId="72AC809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Виконання будiвельно-монтажних робiт здiйснюється на основi укладених договорiв. </w:t>
      </w:r>
    </w:p>
    <w:p w14:paraId="2759F31F">
      <w:pPr>
        <w:spacing w:beforeLines="0" w:afterLines="0"/>
        <w:rPr>
          <w:rFonts w:hint="default" w:ascii="Times New Roman CYR" w:hAnsi="Times New Roman CYR" w:eastAsia="Times New Roman CYR"/>
          <w:sz w:val="24"/>
          <w:szCs w:val="24"/>
        </w:rPr>
      </w:pPr>
    </w:p>
    <w:p w14:paraId="5EDC6F50">
      <w:pPr>
        <w:spacing w:beforeLines="0" w:afterLines="0"/>
        <w:rPr>
          <w:rFonts w:hint="default" w:ascii="Times New Roman CYR" w:hAnsi="Times New Roman CYR" w:eastAsia="Times New Roman CYR"/>
          <w:sz w:val="24"/>
          <w:szCs w:val="24"/>
        </w:rPr>
      </w:pPr>
    </w:p>
    <w:p w14:paraId="4FAE3FB7">
      <w:pPr>
        <w:spacing w:beforeLines="0" w:afterLines="0"/>
        <w:rPr>
          <w:rFonts w:hint="default" w:ascii="Times New Roman CYR" w:hAnsi="Times New Roman CYR" w:eastAsia="Times New Roman CYR"/>
          <w:sz w:val="24"/>
          <w:szCs w:val="24"/>
        </w:rPr>
      </w:pPr>
    </w:p>
    <w:p w14:paraId="79C98FA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10) основнi постачальники та види товарiв та/або послуг, якi вони постачають/надають особi, країни з яких здiйснюється постачання/надання товарiв/послуг. </w:t>
      </w:r>
    </w:p>
    <w:p w14:paraId="4ED46B08">
      <w:pPr>
        <w:spacing w:beforeLines="0" w:afterLines="0"/>
        <w:rPr>
          <w:rFonts w:hint="default" w:ascii="Times New Roman CYR" w:hAnsi="Times New Roman CYR" w:eastAsia="Times New Roman CYR"/>
          <w:sz w:val="24"/>
          <w:szCs w:val="24"/>
        </w:rPr>
      </w:pPr>
    </w:p>
    <w:p w14:paraId="5DC3CE5E">
      <w:pPr>
        <w:spacing w:beforeLines="0" w:afterLines="0"/>
        <w:rPr>
          <w:rFonts w:hint="default" w:ascii="Times New Roman CYR" w:hAnsi="Times New Roman CYR" w:eastAsia="Times New Roman CYR"/>
          <w:sz w:val="24"/>
          <w:szCs w:val="24"/>
        </w:rPr>
      </w:pPr>
    </w:p>
    <w:p w14:paraId="3FE2E122">
      <w:pPr>
        <w:spacing w:beforeLines="0" w:afterLines="0"/>
        <w:rPr>
          <w:rFonts w:hint="default" w:ascii="Times New Roman CYR" w:hAnsi="Times New Roman CYR" w:eastAsia="Times New Roman CYR"/>
          <w:sz w:val="24"/>
          <w:szCs w:val="24"/>
        </w:rPr>
      </w:pPr>
    </w:p>
    <w:p w14:paraId="29C9B9E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Постачальниками є виробники обладнання та комплектуючих, а виробничi та iнженернi послуги здiйснюються переважно власними силами компанiї. Iнформацiя про конкретних контрагентiв є комерцiйною таємницею. Виходячи зi специфiки дiяльностi, постачання здiйснюється вiд провiдних європейських  та українських виробникiв. Компанiя знаходиться та здiйснює основну дiяльнiсть у м. Київ, Україна.</w:t>
      </w:r>
    </w:p>
    <w:p w14:paraId="175F85E6">
      <w:pPr>
        <w:spacing w:beforeLines="0" w:afterLines="0"/>
        <w:rPr>
          <w:rFonts w:hint="default" w:ascii="Times New Roman CYR" w:hAnsi="Times New Roman CYR" w:eastAsia="Times New Roman CYR"/>
          <w:sz w:val="24"/>
          <w:szCs w:val="24"/>
        </w:rPr>
      </w:pPr>
    </w:p>
    <w:p w14:paraId="3B208CA6">
      <w:pPr>
        <w:spacing w:beforeLines="0" w:afterLines="0"/>
        <w:rPr>
          <w:rFonts w:hint="default" w:ascii="Times New Roman CYR" w:hAnsi="Times New Roman CYR" w:eastAsia="Times New Roman CYR"/>
          <w:sz w:val="24"/>
          <w:szCs w:val="24"/>
        </w:rPr>
      </w:pPr>
    </w:p>
    <w:p w14:paraId="6FAC1184">
      <w:pPr>
        <w:spacing w:beforeLines="0" w:afterLines="0"/>
        <w:rPr>
          <w:rFonts w:hint="default" w:ascii="Times New Roman CYR" w:hAnsi="Times New Roman CYR" w:eastAsia="Times New Roman CYR"/>
          <w:sz w:val="24"/>
          <w:szCs w:val="24"/>
        </w:rPr>
      </w:pPr>
    </w:p>
    <w:p w14:paraId="753AB8D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 особливостi стану розвитку галузi, в якiй здiйснює дiяльнiсть особа.</w:t>
      </w:r>
    </w:p>
    <w:p w14:paraId="39603F9D">
      <w:pPr>
        <w:spacing w:beforeLines="0" w:afterLines="0"/>
        <w:rPr>
          <w:rFonts w:hint="default" w:ascii="Times New Roman CYR" w:hAnsi="Times New Roman CYR" w:eastAsia="Times New Roman CYR"/>
          <w:sz w:val="24"/>
          <w:szCs w:val="24"/>
        </w:rPr>
      </w:pPr>
    </w:p>
    <w:p w14:paraId="6C117DE8">
      <w:pPr>
        <w:spacing w:beforeLines="0" w:afterLines="0"/>
        <w:rPr>
          <w:rFonts w:hint="default" w:ascii="Times New Roman CYR" w:hAnsi="Times New Roman CYR" w:eastAsia="Times New Roman CYR"/>
          <w:sz w:val="24"/>
          <w:szCs w:val="24"/>
        </w:rPr>
      </w:pPr>
    </w:p>
    <w:p w14:paraId="75BA4A74">
      <w:pPr>
        <w:spacing w:beforeLines="0" w:afterLines="0"/>
        <w:rPr>
          <w:rFonts w:hint="default" w:ascii="Times New Roman CYR" w:hAnsi="Times New Roman CYR" w:eastAsia="Times New Roman CYR"/>
          <w:sz w:val="24"/>
          <w:szCs w:val="24"/>
        </w:rPr>
      </w:pPr>
    </w:p>
    <w:p w14:paraId="35D23CF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Стан галузi, в якiй здiйснює дiяльнiсть ПрАТ "Київспецмонтаж" (будiвельно-монтажнi роботи, проектування, монтаж систем вентиляцiї, кондицiонування, протидимного захисту, теплопостачання), у 2025 роцi характеризується як перiод адаптацiї та вибiркового зростання на тлi воєнних викликiв.</w:t>
      </w:r>
    </w:p>
    <w:p w14:paraId="27AE6F3D">
      <w:pPr>
        <w:spacing w:beforeLines="0" w:afterLines="0"/>
        <w:rPr>
          <w:rFonts w:hint="default" w:ascii="Times New Roman CYR" w:hAnsi="Times New Roman CYR" w:eastAsia="Times New Roman CYR"/>
          <w:sz w:val="24"/>
          <w:szCs w:val="24"/>
        </w:rPr>
      </w:pPr>
    </w:p>
    <w:p w14:paraId="7603D1C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Основнi особливостi галузi у 2025 роцi:</w:t>
      </w:r>
    </w:p>
    <w:p w14:paraId="2AB5EE79">
      <w:pPr>
        <w:spacing w:beforeLines="0" w:afterLines="0"/>
        <w:rPr>
          <w:rFonts w:hint="default" w:ascii="Times New Roman CYR" w:hAnsi="Times New Roman CYR" w:eastAsia="Times New Roman CYR"/>
          <w:sz w:val="24"/>
          <w:szCs w:val="24"/>
        </w:rPr>
      </w:pPr>
    </w:p>
    <w:p w14:paraId="12DF47A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Загальний стан та динамiка ринку</w:t>
      </w:r>
    </w:p>
    <w:p w14:paraId="5BBA23F6">
      <w:pPr>
        <w:spacing w:beforeLines="0" w:afterLines="0"/>
        <w:rPr>
          <w:rFonts w:hint="default" w:ascii="Times New Roman CYR" w:hAnsi="Times New Roman CYR" w:eastAsia="Times New Roman CYR"/>
          <w:sz w:val="24"/>
          <w:szCs w:val="24"/>
        </w:rPr>
      </w:pPr>
    </w:p>
    <w:p w14:paraId="5A13EBA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Стримане зростання: Галузь перейшла вiд етапу активного вiдновлення (2023-2024) до стабiльнiшого, але повiльнiшого зростання. Обсяги будiвельних робiт загалом збiльшилися, проте темпи сповiльнилися порiвняно з минулими роками.</w:t>
      </w:r>
    </w:p>
    <w:p w14:paraId="52BD2D55">
      <w:pPr>
        <w:spacing w:beforeLines="0" w:afterLines="0"/>
        <w:rPr>
          <w:rFonts w:hint="default" w:ascii="Times New Roman CYR" w:hAnsi="Times New Roman CYR" w:eastAsia="Times New Roman CYR"/>
          <w:sz w:val="24"/>
          <w:szCs w:val="24"/>
        </w:rPr>
      </w:pPr>
    </w:p>
    <w:p w14:paraId="570C3F1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ринку: Найбiльшу частку займає iнженерне будiвництво та вiдновлення критичної iнфраструктури (близько 20% ринку).</w:t>
      </w:r>
    </w:p>
    <w:p w14:paraId="6CBEC3A2">
      <w:pPr>
        <w:spacing w:beforeLines="0" w:afterLines="0"/>
        <w:rPr>
          <w:rFonts w:hint="default" w:ascii="Times New Roman CYR" w:hAnsi="Times New Roman CYR" w:eastAsia="Times New Roman CYR"/>
          <w:sz w:val="24"/>
          <w:szCs w:val="24"/>
        </w:rPr>
      </w:pPr>
    </w:p>
    <w:p w14:paraId="045B573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Регiональна специфiка: Основна активнiсть зосереджена в Київськiй, Львiвськiй та Iвано-Франкiвськiй областях. </w:t>
      </w:r>
    </w:p>
    <w:p w14:paraId="4BB3CD28">
      <w:pPr>
        <w:spacing w:beforeLines="0" w:afterLines="0"/>
        <w:rPr>
          <w:rFonts w:hint="default" w:ascii="Times New Roman CYR" w:hAnsi="Times New Roman CYR" w:eastAsia="Times New Roman CYR"/>
          <w:sz w:val="24"/>
          <w:szCs w:val="24"/>
        </w:rPr>
      </w:pPr>
    </w:p>
    <w:p w14:paraId="1DC272D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Ключовi драйвери дiяльностi</w:t>
      </w:r>
    </w:p>
    <w:p w14:paraId="4B89BD92">
      <w:pPr>
        <w:spacing w:beforeLines="0" w:afterLines="0"/>
        <w:rPr>
          <w:rFonts w:hint="default" w:ascii="Times New Roman CYR" w:hAnsi="Times New Roman CYR" w:eastAsia="Times New Roman CYR"/>
          <w:sz w:val="24"/>
          <w:szCs w:val="24"/>
        </w:rPr>
      </w:pPr>
    </w:p>
    <w:p w14:paraId="0EE522D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Енергонезалежнiсть: Високий попит на встановлення систем, що пiдвищують енергоефективнiсть будiвель, сонячнi станцiї, акумулятори та iнвертори.</w:t>
      </w:r>
    </w:p>
    <w:p w14:paraId="1115FD7B">
      <w:pPr>
        <w:spacing w:beforeLines="0" w:afterLines="0"/>
        <w:rPr>
          <w:rFonts w:hint="default" w:ascii="Times New Roman CYR" w:hAnsi="Times New Roman CYR" w:eastAsia="Times New Roman CYR"/>
          <w:sz w:val="24"/>
          <w:szCs w:val="24"/>
        </w:rPr>
      </w:pPr>
    </w:p>
    <w:p w14:paraId="19B62A1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Реконструкцiя та модернiзацiя: У 2025 роцi велика частка робiт припадає саме на реконструкцiю та технiчне переоснащення (близько 26,4% в структурi).</w:t>
      </w:r>
    </w:p>
    <w:p w14:paraId="6A2E5530">
      <w:pPr>
        <w:spacing w:beforeLines="0" w:afterLines="0"/>
        <w:rPr>
          <w:rFonts w:hint="default" w:ascii="Times New Roman CYR" w:hAnsi="Times New Roman CYR" w:eastAsia="Times New Roman CYR"/>
          <w:sz w:val="24"/>
          <w:szCs w:val="24"/>
        </w:rPr>
      </w:pPr>
    </w:p>
    <w:p w14:paraId="48EE61E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Безпековi об'єкти: Масштабне будiвництво укриттiв, захисних споруд та шкiл, що потебує сучасних систем вентиляцiї, протидимного захисту та iнженерних мереж. </w:t>
      </w:r>
    </w:p>
    <w:p w14:paraId="49030808">
      <w:pPr>
        <w:spacing w:beforeLines="0" w:afterLines="0"/>
        <w:rPr>
          <w:rFonts w:hint="default" w:ascii="Times New Roman CYR" w:hAnsi="Times New Roman CYR" w:eastAsia="Times New Roman CYR"/>
          <w:sz w:val="24"/>
          <w:szCs w:val="24"/>
        </w:rPr>
      </w:pPr>
    </w:p>
    <w:p w14:paraId="4065BFE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Виклики та особливостi 2025 року</w:t>
      </w:r>
    </w:p>
    <w:p w14:paraId="51DF9A73">
      <w:pPr>
        <w:spacing w:beforeLines="0" w:afterLines="0"/>
        <w:rPr>
          <w:rFonts w:hint="default" w:ascii="Times New Roman CYR" w:hAnsi="Times New Roman CYR" w:eastAsia="Times New Roman CYR"/>
          <w:sz w:val="24"/>
          <w:szCs w:val="24"/>
        </w:rPr>
      </w:pPr>
    </w:p>
    <w:p w14:paraId="530C29C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Дефiцит кадрiв: Критична нестача квалiфiкованої робочої сили (зварювальникiв, монтажникiв), що пiдвищує собiвартiсть робiт та затримує термiни.</w:t>
      </w:r>
    </w:p>
    <w:p w14:paraId="5C3C2480">
      <w:pPr>
        <w:spacing w:beforeLines="0" w:afterLines="0"/>
        <w:rPr>
          <w:rFonts w:hint="default" w:ascii="Times New Roman CYR" w:hAnsi="Times New Roman CYR" w:eastAsia="Times New Roman CYR"/>
          <w:sz w:val="24"/>
          <w:szCs w:val="24"/>
        </w:rPr>
      </w:pPr>
    </w:p>
    <w:p w14:paraId="07F6B28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Зростання цiн: Пiдвищення цiн на будiвельно-монтажнi роботи та матерiали.</w:t>
      </w:r>
    </w:p>
    <w:p w14:paraId="53A9377E">
      <w:pPr>
        <w:spacing w:beforeLines="0" w:afterLines="0"/>
        <w:rPr>
          <w:rFonts w:hint="default" w:ascii="Times New Roman CYR" w:hAnsi="Times New Roman CYR" w:eastAsia="Times New Roman CYR"/>
          <w:sz w:val="24"/>
          <w:szCs w:val="24"/>
        </w:rPr>
      </w:pPr>
    </w:p>
    <w:p w14:paraId="34E742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Трансформацiя галузi: Перехiд до європейських стандартiв, цифровiзацiя (ЄДЕССБ) та автоматизацiя технiчних перевiрок.</w:t>
      </w:r>
    </w:p>
    <w:p w14:paraId="6859BDA7">
      <w:pPr>
        <w:spacing w:beforeLines="0" w:afterLines="0"/>
        <w:rPr>
          <w:rFonts w:hint="default" w:ascii="Times New Roman CYR" w:hAnsi="Times New Roman CYR" w:eastAsia="Times New Roman CYR"/>
          <w:sz w:val="24"/>
          <w:szCs w:val="24"/>
        </w:rPr>
      </w:pPr>
    </w:p>
    <w:p w14:paraId="4A33E5B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Висока залежнiсть вiд iмпорту: Розриви у ланцюгах постачання матерiалiв та обладнання. </w:t>
      </w:r>
    </w:p>
    <w:p w14:paraId="5F198654">
      <w:pPr>
        <w:spacing w:beforeLines="0" w:afterLines="0"/>
        <w:rPr>
          <w:rFonts w:hint="default" w:ascii="Times New Roman CYR" w:hAnsi="Times New Roman CYR" w:eastAsia="Times New Roman CYR"/>
          <w:sz w:val="24"/>
          <w:szCs w:val="24"/>
        </w:rPr>
      </w:pPr>
    </w:p>
    <w:p w14:paraId="1F116F57">
      <w:pPr>
        <w:spacing w:beforeLines="0" w:afterLines="0"/>
        <w:rPr>
          <w:rFonts w:hint="default" w:ascii="Times New Roman CYR" w:hAnsi="Times New Roman CYR" w:eastAsia="Times New Roman CYR"/>
          <w:sz w:val="24"/>
          <w:szCs w:val="24"/>
        </w:rPr>
      </w:pPr>
    </w:p>
    <w:p w14:paraId="0DAD289E">
      <w:pPr>
        <w:spacing w:beforeLines="0" w:afterLines="0"/>
        <w:rPr>
          <w:rFonts w:hint="default" w:ascii="Times New Roman CYR" w:hAnsi="Times New Roman CYR" w:eastAsia="Times New Roman CYR"/>
          <w:sz w:val="24"/>
          <w:szCs w:val="24"/>
        </w:rPr>
      </w:pPr>
    </w:p>
    <w:p w14:paraId="40B5CDE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4FC19A43">
      <w:pPr>
        <w:spacing w:beforeLines="0" w:afterLines="0"/>
        <w:rPr>
          <w:rFonts w:hint="default" w:ascii="Times New Roman CYR" w:hAnsi="Times New Roman CYR" w:eastAsia="Times New Roman CYR"/>
          <w:sz w:val="24"/>
          <w:szCs w:val="24"/>
        </w:rPr>
      </w:pPr>
    </w:p>
    <w:p w14:paraId="24FC8161">
      <w:pPr>
        <w:spacing w:beforeLines="0" w:afterLines="0"/>
        <w:rPr>
          <w:rFonts w:hint="default" w:ascii="Times New Roman CYR" w:hAnsi="Times New Roman CYR" w:eastAsia="Times New Roman CYR"/>
          <w:sz w:val="24"/>
          <w:szCs w:val="24"/>
        </w:rPr>
      </w:pPr>
    </w:p>
    <w:p w14:paraId="5D53E94F">
      <w:pPr>
        <w:spacing w:beforeLines="0" w:afterLines="0"/>
        <w:rPr>
          <w:rFonts w:hint="default" w:ascii="Times New Roman CYR" w:hAnsi="Times New Roman CYR" w:eastAsia="Times New Roman CYR"/>
          <w:sz w:val="24"/>
          <w:szCs w:val="24"/>
        </w:rPr>
      </w:pPr>
    </w:p>
    <w:p w14:paraId="6F2B85C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2025 р. дiяльнiсть товариства була зосереджена на монтажi водопровiдних мереж,систем опалення та кондицiонування, що передбачало використання специфiчних монтажних та проєктних технологiй.</w:t>
      </w:r>
    </w:p>
    <w:p w14:paraId="2639ACBE">
      <w:pPr>
        <w:spacing w:beforeLines="0" w:afterLines="0"/>
        <w:rPr>
          <w:rFonts w:hint="default" w:ascii="Times New Roman CYR" w:hAnsi="Times New Roman CYR" w:eastAsia="Times New Roman CYR"/>
          <w:sz w:val="24"/>
          <w:szCs w:val="24"/>
        </w:rPr>
      </w:pPr>
    </w:p>
    <w:p w14:paraId="3FA67B60">
      <w:pPr>
        <w:spacing w:beforeLines="0" w:afterLines="0"/>
        <w:rPr>
          <w:rFonts w:hint="default" w:ascii="Times New Roman CYR" w:hAnsi="Times New Roman CYR" w:eastAsia="Times New Roman CYR"/>
          <w:sz w:val="24"/>
          <w:szCs w:val="24"/>
        </w:rPr>
      </w:pPr>
    </w:p>
    <w:p w14:paraId="6613F5E6">
      <w:pPr>
        <w:spacing w:beforeLines="0" w:afterLines="0"/>
        <w:rPr>
          <w:rFonts w:hint="default" w:ascii="Times New Roman CYR" w:hAnsi="Times New Roman CYR" w:eastAsia="Times New Roman CYR"/>
          <w:sz w:val="24"/>
          <w:szCs w:val="24"/>
        </w:rPr>
      </w:pPr>
    </w:p>
    <w:p w14:paraId="4B201B1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5E760969">
      <w:pPr>
        <w:spacing w:beforeLines="0" w:afterLines="0"/>
        <w:rPr>
          <w:rFonts w:hint="default" w:ascii="Times New Roman CYR" w:hAnsi="Times New Roman CYR" w:eastAsia="Times New Roman CYR"/>
          <w:sz w:val="24"/>
          <w:szCs w:val="24"/>
        </w:rPr>
      </w:pPr>
    </w:p>
    <w:p w14:paraId="37E38916">
      <w:pPr>
        <w:spacing w:beforeLines="0" w:afterLines="0"/>
        <w:rPr>
          <w:rFonts w:hint="default" w:ascii="Times New Roman CYR" w:hAnsi="Times New Roman CYR" w:eastAsia="Times New Roman CYR"/>
          <w:sz w:val="24"/>
          <w:szCs w:val="24"/>
        </w:rPr>
      </w:pPr>
    </w:p>
    <w:p w14:paraId="08D9E66B">
      <w:pPr>
        <w:spacing w:beforeLines="0" w:afterLines="0"/>
        <w:rPr>
          <w:rFonts w:hint="default" w:ascii="Times New Roman CYR" w:hAnsi="Times New Roman CYR" w:eastAsia="Times New Roman CYR"/>
          <w:sz w:val="24"/>
          <w:szCs w:val="24"/>
        </w:rPr>
      </w:pPr>
    </w:p>
    <w:p w14:paraId="3F91AA9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Станом на 2025 рiк ПрАТ "КИЇВСПЕЦМОНТАЖ"  займало стабiльну позицiю на ринку спецiалiзованих будiвельних послуг, зокрема у нiшi монтажу iнженерних мереж.</w:t>
      </w:r>
    </w:p>
    <w:p w14:paraId="0D0F56AA">
      <w:pPr>
        <w:spacing w:beforeLines="0" w:afterLines="0"/>
        <w:rPr>
          <w:rFonts w:hint="default" w:ascii="Times New Roman CYR" w:hAnsi="Times New Roman CYR" w:eastAsia="Times New Roman CYR"/>
          <w:sz w:val="24"/>
          <w:szCs w:val="24"/>
        </w:rPr>
      </w:pPr>
    </w:p>
    <w:p w14:paraId="7CC77492">
      <w:pPr>
        <w:spacing w:beforeLines="0" w:afterLines="0"/>
        <w:rPr>
          <w:rFonts w:hint="default" w:ascii="Times New Roman CYR" w:hAnsi="Times New Roman CYR" w:eastAsia="Times New Roman CYR"/>
          <w:sz w:val="24"/>
          <w:szCs w:val="24"/>
        </w:rPr>
      </w:pPr>
    </w:p>
    <w:p w14:paraId="6396C82D">
      <w:pPr>
        <w:spacing w:beforeLines="0" w:afterLines="0"/>
        <w:rPr>
          <w:rFonts w:hint="default" w:ascii="Times New Roman CYR" w:hAnsi="Times New Roman CYR" w:eastAsia="Times New Roman CYR"/>
          <w:sz w:val="24"/>
          <w:szCs w:val="24"/>
        </w:rPr>
      </w:pPr>
    </w:p>
    <w:p w14:paraId="65E4B90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Пiдприємство дiє переважно в Київському регiонi. Статус приватного акцiонерного товариства та багаторiчна iсторiя дозволяють компанiї брати участь рiзих iнфраструктурних проектах .</w:t>
      </w:r>
    </w:p>
    <w:p w14:paraId="459CF290">
      <w:pPr>
        <w:spacing w:beforeLines="0" w:afterLines="0"/>
        <w:rPr>
          <w:rFonts w:hint="default" w:ascii="Times New Roman CYR" w:hAnsi="Times New Roman CYR" w:eastAsia="Times New Roman CYR"/>
          <w:sz w:val="24"/>
          <w:szCs w:val="24"/>
        </w:rPr>
      </w:pPr>
    </w:p>
    <w:p w14:paraId="4814C76A">
      <w:pPr>
        <w:spacing w:beforeLines="0" w:afterLines="0"/>
        <w:rPr>
          <w:rFonts w:hint="default" w:ascii="Times New Roman CYR" w:hAnsi="Times New Roman CYR" w:eastAsia="Times New Roman CYR"/>
          <w:sz w:val="24"/>
          <w:szCs w:val="24"/>
        </w:rPr>
      </w:pPr>
    </w:p>
    <w:p w14:paraId="187CEE5C">
      <w:pPr>
        <w:spacing w:beforeLines="0" w:afterLines="0"/>
        <w:rPr>
          <w:rFonts w:hint="default" w:ascii="Times New Roman CYR" w:hAnsi="Times New Roman CYR" w:eastAsia="Times New Roman CYR"/>
          <w:sz w:val="24"/>
          <w:szCs w:val="24"/>
        </w:rPr>
      </w:pPr>
    </w:p>
    <w:p w14:paraId="493C27B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конкуренцiї в галузi, основнi конкуренти особи.</w:t>
      </w:r>
    </w:p>
    <w:p w14:paraId="0940344D">
      <w:pPr>
        <w:spacing w:beforeLines="0" w:afterLines="0"/>
        <w:rPr>
          <w:rFonts w:hint="default" w:ascii="Times New Roman CYR" w:hAnsi="Times New Roman CYR" w:eastAsia="Times New Roman CYR"/>
          <w:sz w:val="24"/>
          <w:szCs w:val="24"/>
        </w:rPr>
      </w:pPr>
    </w:p>
    <w:p w14:paraId="7EA519A1">
      <w:pPr>
        <w:spacing w:beforeLines="0" w:afterLines="0"/>
        <w:rPr>
          <w:rFonts w:hint="default" w:ascii="Times New Roman CYR" w:hAnsi="Times New Roman CYR" w:eastAsia="Times New Roman CYR"/>
          <w:sz w:val="24"/>
          <w:szCs w:val="24"/>
        </w:rPr>
      </w:pPr>
    </w:p>
    <w:p w14:paraId="718B5572">
      <w:pPr>
        <w:spacing w:beforeLines="0" w:afterLines="0"/>
        <w:rPr>
          <w:rFonts w:hint="default" w:ascii="Times New Roman CYR" w:hAnsi="Times New Roman CYR" w:eastAsia="Times New Roman CYR"/>
          <w:sz w:val="24"/>
          <w:szCs w:val="24"/>
        </w:rPr>
      </w:pPr>
    </w:p>
    <w:p w14:paraId="47FACF1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Рiвень конкуренцiї в галузi характеризується як високий, що зумовлено специфiкою галузi будiвництва та значною кiлькiстю гравцiв у київському регiонi. </w:t>
      </w:r>
    </w:p>
    <w:p w14:paraId="07DD03E6">
      <w:pPr>
        <w:spacing w:beforeLines="0" w:afterLines="0"/>
        <w:rPr>
          <w:rFonts w:hint="default" w:ascii="Times New Roman CYR" w:hAnsi="Times New Roman CYR" w:eastAsia="Times New Roman CYR"/>
          <w:sz w:val="24"/>
          <w:szCs w:val="24"/>
        </w:rPr>
      </w:pPr>
    </w:p>
    <w:p w14:paraId="745F53CC">
      <w:pPr>
        <w:spacing w:beforeLines="0" w:afterLines="0"/>
        <w:rPr>
          <w:rFonts w:hint="default" w:ascii="Times New Roman CYR" w:hAnsi="Times New Roman CYR" w:eastAsia="Times New Roman CYR"/>
          <w:sz w:val="24"/>
          <w:szCs w:val="24"/>
        </w:rPr>
      </w:pPr>
    </w:p>
    <w:p w14:paraId="1291744A">
      <w:pPr>
        <w:spacing w:beforeLines="0" w:afterLines="0"/>
        <w:rPr>
          <w:rFonts w:hint="default" w:ascii="Times New Roman CYR" w:hAnsi="Times New Roman CYR" w:eastAsia="Times New Roman CYR"/>
          <w:sz w:val="24"/>
          <w:szCs w:val="24"/>
        </w:rPr>
      </w:pPr>
    </w:p>
    <w:p w14:paraId="0306237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Бiльшiсть об'єктiв зосереджена в столичному регiонi, де спостерiгається найвища концентрацiя капiталу та будiвельних потужностей в Українi. </w:t>
      </w:r>
    </w:p>
    <w:p w14:paraId="0DDB52CE">
      <w:pPr>
        <w:spacing w:beforeLines="0" w:afterLines="0"/>
        <w:rPr>
          <w:rFonts w:hint="default" w:ascii="Times New Roman CYR" w:hAnsi="Times New Roman CYR" w:eastAsia="Times New Roman CYR"/>
          <w:sz w:val="24"/>
          <w:szCs w:val="24"/>
        </w:rPr>
      </w:pPr>
    </w:p>
    <w:p w14:paraId="5D602AD6">
      <w:pPr>
        <w:spacing w:beforeLines="0" w:afterLines="0"/>
        <w:rPr>
          <w:rFonts w:hint="default" w:ascii="Times New Roman CYR" w:hAnsi="Times New Roman CYR" w:eastAsia="Times New Roman CYR"/>
          <w:sz w:val="24"/>
          <w:szCs w:val="24"/>
        </w:rPr>
      </w:pPr>
    </w:p>
    <w:p w14:paraId="2452C6ED">
      <w:pPr>
        <w:spacing w:beforeLines="0" w:afterLines="0"/>
        <w:rPr>
          <w:rFonts w:hint="default" w:ascii="Times New Roman CYR" w:hAnsi="Times New Roman CYR" w:eastAsia="Times New Roman CYR"/>
          <w:sz w:val="24"/>
          <w:szCs w:val="24"/>
        </w:rPr>
      </w:pPr>
    </w:p>
    <w:p w14:paraId="14FEDA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Основними конкурентами ПрАТ "КИЇВСПЕЦМОНТАЖ" є пiдприємства, що спецiалiзуються на загальнобудiвельних та спецiальних монтажних роботах у Києвi. До них належать компанiї подiбного масштабу та профiлю:</w:t>
      </w:r>
    </w:p>
    <w:p w14:paraId="73571D1F">
      <w:pPr>
        <w:spacing w:beforeLines="0" w:afterLines="0"/>
        <w:rPr>
          <w:rFonts w:hint="default" w:ascii="Times New Roman CYR" w:hAnsi="Times New Roman CYR" w:eastAsia="Times New Roman CYR"/>
          <w:sz w:val="24"/>
          <w:szCs w:val="24"/>
        </w:rPr>
      </w:pPr>
    </w:p>
    <w:p w14:paraId="1EEBB65A">
      <w:pPr>
        <w:spacing w:beforeLines="0" w:afterLines="0"/>
        <w:rPr>
          <w:rFonts w:hint="default" w:ascii="Times New Roman CYR" w:hAnsi="Times New Roman CYR" w:eastAsia="Times New Roman CYR"/>
          <w:sz w:val="24"/>
          <w:szCs w:val="24"/>
        </w:rPr>
      </w:pPr>
    </w:p>
    <w:p w14:paraId="2F60BE66">
      <w:pPr>
        <w:spacing w:beforeLines="0" w:afterLines="0"/>
        <w:rPr>
          <w:rFonts w:hint="default" w:ascii="Times New Roman CYR" w:hAnsi="Times New Roman CYR" w:eastAsia="Times New Roman CYR"/>
          <w:sz w:val="24"/>
          <w:szCs w:val="24"/>
        </w:rPr>
      </w:pPr>
    </w:p>
    <w:p w14:paraId="21795DB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"Київмiськбуд" - один iз найбiльших девелоперiв, що конкурує в сегментi житлового будiвництва.</w:t>
      </w:r>
    </w:p>
    <w:p w14:paraId="3CC0D00B">
      <w:pPr>
        <w:spacing w:beforeLines="0" w:afterLines="0"/>
        <w:rPr>
          <w:rFonts w:hint="default" w:ascii="Times New Roman CYR" w:hAnsi="Times New Roman CYR" w:eastAsia="Times New Roman CYR"/>
          <w:sz w:val="24"/>
          <w:szCs w:val="24"/>
        </w:rPr>
      </w:pPr>
    </w:p>
    <w:p w14:paraId="7925F176">
      <w:pPr>
        <w:spacing w:beforeLines="0" w:afterLines="0"/>
        <w:rPr>
          <w:rFonts w:hint="default" w:ascii="Times New Roman CYR" w:hAnsi="Times New Roman CYR" w:eastAsia="Times New Roman CYR"/>
          <w:sz w:val="24"/>
          <w:szCs w:val="24"/>
        </w:rPr>
      </w:pPr>
    </w:p>
    <w:p w14:paraId="6DD0792F">
      <w:pPr>
        <w:spacing w:beforeLines="0" w:afterLines="0"/>
        <w:rPr>
          <w:rFonts w:hint="default" w:ascii="Times New Roman CYR" w:hAnsi="Times New Roman CYR" w:eastAsia="Times New Roman CYR"/>
          <w:sz w:val="24"/>
          <w:szCs w:val="24"/>
        </w:rPr>
      </w:pPr>
    </w:p>
    <w:p w14:paraId="609D418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 "Енерговентиляцiя",  ТОВ " ХК Енергомонтажвентиляцiя" та подiбнi приватнi компанiї, що активно працюють у сферi монтажних  робiт.</w:t>
      </w:r>
    </w:p>
    <w:p w14:paraId="11DC482B">
      <w:pPr>
        <w:spacing w:beforeLines="0" w:afterLines="0"/>
        <w:rPr>
          <w:rFonts w:hint="default" w:ascii="Times New Roman CYR" w:hAnsi="Times New Roman CYR" w:eastAsia="Times New Roman CYR"/>
          <w:sz w:val="24"/>
          <w:szCs w:val="24"/>
        </w:rPr>
      </w:pPr>
    </w:p>
    <w:p w14:paraId="34913938">
      <w:pPr>
        <w:spacing w:beforeLines="0" w:afterLines="0"/>
        <w:rPr>
          <w:rFonts w:hint="default" w:ascii="Times New Roman CYR" w:hAnsi="Times New Roman CYR" w:eastAsia="Times New Roman CYR"/>
          <w:sz w:val="24"/>
          <w:szCs w:val="24"/>
        </w:rPr>
      </w:pPr>
    </w:p>
    <w:p w14:paraId="469B5257">
      <w:pPr>
        <w:spacing w:beforeLines="0" w:afterLines="0"/>
        <w:rPr>
          <w:rFonts w:hint="default" w:ascii="Times New Roman CYR" w:hAnsi="Times New Roman CYR" w:eastAsia="Times New Roman CYR"/>
          <w:sz w:val="24"/>
          <w:szCs w:val="24"/>
        </w:rPr>
      </w:pPr>
    </w:p>
    <w:p w14:paraId="3F10022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"Київспецбуд" та ПрАТ "Київопорядкомплект", якi надають послуги зi спецмонтажу та реконструкцiї. </w:t>
      </w:r>
    </w:p>
    <w:p w14:paraId="0CFA8697">
      <w:pPr>
        <w:spacing w:beforeLines="0" w:afterLines="0"/>
        <w:rPr>
          <w:rFonts w:hint="default" w:ascii="Times New Roman CYR" w:hAnsi="Times New Roman CYR" w:eastAsia="Times New Roman CYR"/>
          <w:sz w:val="24"/>
          <w:szCs w:val="24"/>
        </w:rPr>
      </w:pPr>
    </w:p>
    <w:p w14:paraId="4BC7BC4B">
      <w:pPr>
        <w:spacing w:beforeLines="0" w:afterLines="0"/>
        <w:rPr>
          <w:rFonts w:hint="default" w:ascii="Times New Roman CYR" w:hAnsi="Times New Roman CYR" w:eastAsia="Times New Roman CYR"/>
          <w:sz w:val="24"/>
          <w:szCs w:val="24"/>
        </w:rPr>
      </w:pPr>
    </w:p>
    <w:p w14:paraId="1D090AD9">
      <w:pPr>
        <w:spacing w:beforeLines="0" w:afterLines="0"/>
        <w:rPr>
          <w:rFonts w:hint="default" w:ascii="Times New Roman CYR" w:hAnsi="Times New Roman CYR" w:eastAsia="Times New Roman CYR"/>
          <w:sz w:val="24"/>
          <w:szCs w:val="24"/>
        </w:rPr>
      </w:pPr>
    </w:p>
    <w:p w14:paraId="60DC575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у 2025 роцi утримувало стабiльнi позицiї на ринку завдяки наявностi власної виробничої бази та досвiду реалiзацiї складних iнженерних об'єктiв.</w:t>
      </w:r>
    </w:p>
    <w:p w14:paraId="291B0D88">
      <w:pPr>
        <w:spacing w:beforeLines="0" w:afterLines="0"/>
        <w:rPr>
          <w:rFonts w:hint="default" w:ascii="Times New Roman CYR" w:hAnsi="Times New Roman CYR" w:eastAsia="Times New Roman CYR"/>
          <w:sz w:val="24"/>
          <w:szCs w:val="24"/>
        </w:rPr>
      </w:pPr>
    </w:p>
    <w:p w14:paraId="1503CAE6">
      <w:pPr>
        <w:spacing w:beforeLines="0" w:afterLines="0"/>
        <w:rPr>
          <w:rFonts w:hint="default" w:ascii="Times New Roman CYR" w:hAnsi="Times New Roman CYR" w:eastAsia="Times New Roman CYR"/>
          <w:sz w:val="24"/>
          <w:szCs w:val="24"/>
        </w:rPr>
      </w:pPr>
    </w:p>
    <w:p w14:paraId="0B363928">
      <w:pPr>
        <w:spacing w:beforeLines="0" w:afterLines="0"/>
        <w:rPr>
          <w:rFonts w:hint="default" w:ascii="Times New Roman CYR" w:hAnsi="Times New Roman CYR" w:eastAsia="Times New Roman CYR"/>
          <w:sz w:val="24"/>
          <w:szCs w:val="24"/>
        </w:rPr>
      </w:pPr>
    </w:p>
    <w:p w14:paraId="2E6E5EA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2B9BCE08">
      <w:pPr>
        <w:spacing w:beforeLines="0" w:afterLines="0"/>
        <w:rPr>
          <w:rFonts w:hint="default" w:ascii="Times New Roman CYR" w:hAnsi="Times New Roman CYR" w:eastAsia="Times New Roman CYR"/>
          <w:sz w:val="24"/>
          <w:szCs w:val="24"/>
        </w:rPr>
      </w:pPr>
    </w:p>
    <w:p w14:paraId="1D0596A1">
      <w:pPr>
        <w:spacing w:beforeLines="0" w:afterLines="0"/>
        <w:rPr>
          <w:rFonts w:hint="default" w:ascii="Times New Roman CYR" w:hAnsi="Times New Roman CYR" w:eastAsia="Times New Roman CYR"/>
          <w:sz w:val="24"/>
          <w:szCs w:val="24"/>
        </w:rPr>
      </w:pPr>
    </w:p>
    <w:p w14:paraId="1E437A26">
      <w:pPr>
        <w:spacing w:beforeLines="0" w:afterLines="0"/>
        <w:rPr>
          <w:rFonts w:hint="default" w:ascii="Times New Roman CYR" w:hAnsi="Times New Roman CYR" w:eastAsia="Times New Roman CYR"/>
          <w:sz w:val="24"/>
          <w:szCs w:val="24"/>
        </w:rPr>
      </w:pPr>
    </w:p>
    <w:p w14:paraId="3DCAA6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Починаючи з лютого 2022 р. виробництво знаходиться в умовах безпрецендентних викликiв. Багато пiдприємств призупинили свою роботу.</w:t>
      </w:r>
    </w:p>
    <w:p w14:paraId="3352142B">
      <w:pPr>
        <w:spacing w:beforeLines="0" w:afterLines="0"/>
        <w:rPr>
          <w:rFonts w:hint="default" w:ascii="Times New Roman CYR" w:hAnsi="Times New Roman CYR" w:eastAsia="Times New Roman CYR"/>
          <w:sz w:val="24"/>
          <w:szCs w:val="24"/>
        </w:rPr>
      </w:pPr>
    </w:p>
    <w:p w14:paraId="2C9937A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Крiм того, для аналiзу та прогнозування розвитку виробництва є складнiсть оцiнки поточної ситуацiї. Будiвництво прямо та опосередковано залежатиме вiд перебiгу вiйни.  Тому у своїх планах ми обмежуємся описом основних показникiв, очiкуваних у 2026 р., якi можуть бути визначенi, уточненi та переглянутi протягом звiтного року та затвердженi Наглядовою радою Товариства. </w:t>
      </w:r>
    </w:p>
    <w:p w14:paraId="5270B048">
      <w:pPr>
        <w:spacing w:beforeLines="0" w:afterLines="0"/>
        <w:rPr>
          <w:rFonts w:hint="default" w:ascii="Times New Roman CYR" w:hAnsi="Times New Roman CYR" w:eastAsia="Times New Roman CYR"/>
          <w:sz w:val="24"/>
          <w:szCs w:val="24"/>
        </w:rPr>
      </w:pPr>
    </w:p>
    <w:p w14:paraId="448580F6">
      <w:pPr>
        <w:spacing w:beforeLines="0" w:afterLines="0"/>
        <w:rPr>
          <w:rFonts w:hint="default" w:ascii="Times New Roman CYR" w:hAnsi="Times New Roman CYR" w:eastAsia="Times New Roman CYR"/>
          <w:sz w:val="24"/>
          <w:szCs w:val="24"/>
        </w:rPr>
      </w:pPr>
    </w:p>
    <w:p w14:paraId="21C5D93B">
      <w:pPr>
        <w:spacing w:beforeLines="0" w:afterLines="0"/>
        <w:rPr>
          <w:rFonts w:hint="default" w:ascii="Times New Roman CYR" w:hAnsi="Times New Roman CYR" w:eastAsia="Times New Roman CYR"/>
          <w:sz w:val="24"/>
          <w:szCs w:val="24"/>
        </w:rPr>
      </w:pPr>
    </w:p>
    <w:p w14:paraId="598FA8B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w:t>
      </w:r>
    </w:p>
    <w:p w14:paraId="5A7A03F3">
      <w:pPr>
        <w:spacing w:beforeLines="0" w:afterLines="0"/>
        <w:rPr>
          <w:rFonts w:hint="default" w:ascii="Times New Roman CYR" w:hAnsi="Times New Roman CYR" w:eastAsia="Times New Roman CYR"/>
          <w:sz w:val="24"/>
          <w:szCs w:val="24"/>
        </w:rPr>
      </w:pPr>
    </w:p>
    <w:p w14:paraId="624F972C">
      <w:pPr>
        <w:spacing w:beforeLines="0" w:afterLines="0"/>
        <w:rPr>
          <w:rFonts w:hint="default" w:ascii="Times New Roman CYR" w:hAnsi="Times New Roman CYR" w:eastAsia="Times New Roman CYR"/>
          <w:sz w:val="24"/>
          <w:szCs w:val="24"/>
        </w:rPr>
      </w:pPr>
    </w:p>
    <w:p w14:paraId="06664CBE">
      <w:pPr>
        <w:spacing w:beforeLines="0" w:afterLines="0"/>
        <w:rPr>
          <w:rFonts w:hint="default" w:ascii="Times New Roman CYR" w:hAnsi="Times New Roman CYR" w:eastAsia="Times New Roman CYR"/>
          <w:sz w:val="24"/>
          <w:szCs w:val="24"/>
        </w:rPr>
      </w:pPr>
    </w:p>
    <w:p w14:paraId="4BC948D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4178BFA1">
      <w:pPr>
        <w:spacing w:beforeLines="0" w:afterLines="0"/>
        <w:rPr>
          <w:rFonts w:hint="default" w:ascii="Times New Roman CYR" w:hAnsi="Times New Roman CYR" w:eastAsia="Times New Roman CYR"/>
          <w:sz w:val="24"/>
          <w:szCs w:val="24"/>
        </w:rPr>
      </w:pPr>
    </w:p>
    <w:p w14:paraId="54076C68">
      <w:pPr>
        <w:spacing w:beforeLines="0" w:afterLines="0"/>
        <w:rPr>
          <w:rFonts w:hint="default" w:ascii="Times New Roman CYR" w:hAnsi="Times New Roman CYR" w:eastAsia="Times New Roman CYR"/>
          <w:sz w:val="24"/>
          <w:szCs w:val="24"/>
        </w:rPr>
      </w:pPr>
    </w:p>
    <w:p w14:paraId="3D5BA023">
      <w:pPr>
        <w:spacing w:beforeLines="0" w:afterLines="0"/>
        <w:rPr>
          <w:rFonts w:hint="default" w:ascii="Times New Roman CYR" w:hAnsi="Times New Roman CYR" w:eastAsia="Times New Roman CYR"/>
          <w:sz w:val="24"/>
          <w:szCs w:val="24"/>
        </w:rPr>
      </w:pPr>
    </w:p>
    <w:p w14:paraId="506CEC5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7499DB37">
      <w:pPr>
        <w:spacing w:beforeLines="0" w:afterLines="0"/>
        <w:rPr>
          <w:rFonts w:hint="default" w:ascii="Times New Roman CYR" w:hAnsi="Times New Roman CYR" w:eastAsia="Times New Roman CYR"/>
          <w:sz w:val="24"/>
          <w:szCs w:val="24"/>
        </w:rPr>
      </w:pPr>
    </w:p>
    <w:p w14:paraId="2D88C555">
      <w:pPr>
        <w:spacing w:beforeLines="0" w:afterLines="0"/>
        <w:rPr>
          <w:rFonts w:hint="default" w:ascii="Times New Roman CYR" w:hAnsi="Times New Roman CYR" w:eastAsia="Times New Roman CYR"/>
          <w:sz w:val="24"/>
          <w:szCs w:val="24"/>
        </w:rPr>
      </w:pPr>
    </w:p>
    <w:p w14:paraId="6F718E70">
      <w:pPr>
        <w:spacing w:beforeLines="0" w:afterLines="0"/>
        <w:rPr>
          <w:rFonts w:hint="default" w:ascii="Times New Roman CYR" w:hAnsi="Times New Roman CYR" w:eastAsia="Times New Roman CYR"/>
          <w:sz w:val="24"/>
          <w:szCs w:val="24"/>
        </w:rPr>
      </w:pPr>
    </w:p>
    <w:p w14:paraId="1819FAC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процесi господарської дiяльностi Товариство зазнає впливу фiнансових ризикiв, зокрема цiнового, кредитного ризику та ризику лiквiдностi грошових потокiв. Полiтика управлiння ризиками спрямована на їх своєчасне виявлення, оцiнку та мiнiмiзацiю можливого негативного впливу на фiнансовий стан пiдприємства.</w:t>
      </w:r>
    </w:p>
    <w:p w14:paraId="14C777B1">
      <w:pPr>
        <w:spacing w:beforeLines="0" w:afterLines="0"/>
        <w:rPr>
          <w:rFonts w:hint="default" w:ascii="Times New Roman CYR" w:hAnsi="Times New Roman CYR" w:eastAsia="Times New Roman CYR"/>
          <w:sz w:val="24"/>
          <w:szCs w:val="24"/>
        </w:rPr>
      </w:pPr>
    </w:p>
    <w:p w14:paraId="37CB2510">
      <w:pPr>
        <w:spacing w:beforeLines="0" w:afterLines="0"/>
        <w:rPr>
          <w:rFonts w:hint="default" w:ascii="Times New Roman CYR" w:hAnsi="Times New Roman CYR" w:eastAsia="Times New Roman CYR"/>
          <w:sz w:val="24"/>
          <w:szCs w:val="24"/>
        </w:rPr>
      </w:pPr>
    </w:p>
    <w:p w14:paraId="0689DAA4">
      <w:pPr>
        <w:spacing w:beforeLines="0" w:afterLines="0"/>
        <w:rPr>
          <w:rFonts w:hint="default" w:ascii="Times New Roman CYR" w:hAnsi="Times New Roman CYR" w:eastAsia="Times New Roman CYR"/>
          <w:sz w:val="24"/>
          <w:szCs w:val="24"/>
        </w:rPr>
      </w:pPr>
    </w:p>
    <w:p w14:paraId="4BA5192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Цiновий ризик пов'язаний зi змiнами ринкових цiн на матерiали. Товариство здiйснює монiторинг ринкової ситуацiї та, за можливостi, враховує вiдповiднi змiни при формуваннi договiрних умов. Схильнiсть до цiнового ризику оцiнюється як помiрна.</w:t>
      </w:r>
    </w:p>
    <w:p w14:paraId="5EB7F2E5">
      <w:pPr>
        <w:spacing w:beforeLines="0" w:afterLines="0"/>
        <w:rPr>
          <w:rFonts w:hint="default" w:ascii="Times New Roman CYR" w:hAnsi="Times New Roman CYR" w:eastAsia="Times New Roman CYR"/>
          <w:sz w:val="24"/>
          <w:szCs w:val="24"/>
        </w:rPr>
      </w:pPr>
    </w:p>
    <w:p w14:paraId="6EF307E8">
      <w:pPr>
        <w:spacing w:beforeLines="0" w:afterLines="0"/>
        <w:rPr>
          <w:rFonts w:hint="default" w:ascii="Times New Roman CYR" w:hAnsi="Times New Roman CYR" w:eastAsia="Times New Roman CYR"/>
          <w:sz w:val="24"/>
          <w:szCs w:val="24"/>
        </w:rPr>
      </w:pPr>
    </w:p>
    <w:p w14:paraId="4E287CE2">
      <w:pPr>
        <w:spacing w:beforeLines="0" w:afterLines="0"/>
        <w:rPr>
          <w:rFonts w:hint="default" w:ascii="Times New Roman CYR" w:hAnsi="Times New Roman CYR" w:eastAsia="Times New Roman CYR"/>
          <w:sz w:val="24"/>
          <w:szCs w:val="24"/>
        </w:rPr>
      </w:pPr>
    </w:p>
    <w:p w14:paraId="06281EB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Кредитний ризик виникає у зв'язку з iмовiрнiстю невиконання контрагентами своїх зобов'язань. З метою його зниження здiйснюється контроль за станом дебiторської заборгованостi та оцiнка платоспроможностi контрагентiв. Схильнiсть до кредитного ризику є контрольованою.</w:t>
      </w:r>
    </w:p>
    <w:p w14:paraId="1A48D69A">
      <w:pPr>
        <w:spacing w:beforeLines="0" w:afterLines="0"/>
        <w:rPr>
          <w:rFonts w:hint="default" w:ascii="Times New Roman CYR" w:hAnsi="Times New Roman CYR" w:eastAsia="Times New Roman CYR"/>
          <w:sz w:val="24"/>
          <w:szCs w:val="24"/>
        </w:rPr>
      </w:pPr>
    </w:p>
    <w:p w14:paraId="38869C5F">
      <w:pPr>
        <w:spacing w:beforeLines="0" w:afterLines="0"/>
        <w:rPr>
          <w:rFonts w:hint="default" w:ascii="Times New Roman CYR" w:hAnsi="Times New Roman CYR" w:eastAsia="Times New Roman CYR"/>
          <w:sz w:val="24"/>
          <w:szCs w:val="24"/>
        </w:rPr>
      </w:pPr>
    </w:p>
    <w:p w14:paraId="0061E95A">
      <w:pPr>
        <w:spacing w:beforeLines="0" w:afterLines="0"/>
        <w:rPr>
          <w:rFonts w:hint="default" w:ascii="Times New Roman CYR" w:hAnsi="Times New Roman CYR" w:eastAsia="Times New Roman CYR"/>
          <w:sz w:val="24"/>
          <w:szCs w:val="24"/>
        </w:rPr>
      </w:pPr>
    </w:p>
    <w:p w14:paraId="175792F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Ризик лiквiдностi грошових потокiв пов'язаний iз можливiстю недостатностi коштiв для своєчасного виконання зобов'язань. Управлiння ризиком здiйснюється шляхом планування грошових потокiв. Схильнiсть до ризику лiквiдностi оцiнюється як помiрна.</w:t>
      </w:r>
    </w:p>
    <w:p w14:paraId="6711EB35">
      <w:pPr>
        <w:spacing w:beforeLines="0" w:afterLines="0"/>
        <w:rPr>
          <w:rFonts w:hint="default" w:ascii="Times New Roman CYR" w:hAnsi="Times New Roman CYR" w:eastAsia="Times New Roman CYR"/>
          <w:sz w:val="24"/>
          <w:szCs w:val="24"/>
        </w:rPr>
      </w:pPr>
    </w:p>
    <w:p w14:paraId="14E2603D">
      <w:pPr>
        <w:spacing w:beforeLines="0" w:afterLines="0"/>
        <w:rPr>
          <w:rFonts w:hint="default" w:ascii="Times New Roman CYR" w:hAnsi="Times New Roman CYR" w:eastAsia="Times New Roman CYR"/>
          <w:sz w:val="24"/>
          <w:szCs w:val="24"/>
        </w:rPr>
      </w:pPr>
    </w:p>
    <w:p w14:paraId="173B2E64">
      <w:pPr>
        <w:spacing w:beforeLines="0" w:afterLines="0"/>
        <w:rPr>
          <w:rFonts w:hint="default" w:ascii="Times New Roman CYR" w:hAnsi="Times New Roman CYR" w:eastAsia="Times New Roman CYR"/>
          <w:sz w:val="24"/>
          <w:szCs w:val="24"/>
        </w:rPr>
      </w:pPr>
    </w:p>
    <w:p w14:paraId="48A98C3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716B9A5D">
      <w:pPr>
        <w:spacing w:beforeLines="0" w:afterLines="0"/>
        <w:rPr>
          <w:rFonts w:hint="default" w:ascii="Times New Roman CYR" w:hAnsi="Times New Roman CYR" w:eastAsia="Times New Roman CYR"/>
          <w:sz w:val="24"/>
          <w:szCs w:val="24"/>
        </w:rPr>
      </w:pPr>
    </w:p>
    <w:p w14:paraId="5EC1AD15">
      <w:pPr>
        <w:spacing w:beforeLines="0" w:afterLines="0"/>
        <w:rPr>
          <w:rFonts w:hint="default" w:ascii="Times New Roman CYR" w:hAnsi="Times New Roman CYR" w:eastAsia="Times New Roman CYR"/>
          <w:sz w:val="24"/>
          <w:szCs w:val="24"/>
        </w:rPr>
      </w:pPr>
    </w:p>
    <w:p w14:paraId="37DD9A82">
      <w:pPr>
        <w:spacing w:beforeLines="0" w:afterLines="0"/>
        <w:rPr>
          <w:rFonts w:hint="default" w:ascii="Times New Roman CYR" w:hAnsi="Times New Roman CYR" w:eastAsia="Times New Roman CYR"/>
          <w:sz w:val="24"/>
          <w:szCs w:val="24"/>
        </w:rPr>
      </w:pPr>
    </w:p>
    <w:p w14:paraId="5E584C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Напрями дiяльностi залишаються тими ж, хоча корективи суттєвi внесенi вiйськовим станом в нашiй державi в цiлому. Прiоритетною задачею є збереження колективу та органiзацiї в цей складний для всiх нас час: необхiдно шукати обсяги робiт з монтажу систем вентиляцiї та протидимного захисту, збiльшувати обсяги робiт з монтажу та налагодження автоматики систем вентиляцiї, налагодити продаж виробiв власного виробництва на сторону, брати на зданих об'єктах  змонтованi нами системи вентиляцiї на технiчне обслуговування, аналiзувати проєктну документацiю, максимально використовувати матерiали, якi є на виробничiй базi та на складах, налагодити роботу з проєктними органiзацiями, щодо участi в реалiзацiї проєктiв бомбосховищ.</w:t>
      </w:r>
    </w:p>
    <w:p w14:paraId="48F95209">
      <w:pPr>
        <w:spacing w:beforeLines="0" w:afterLines="0"/>
        <w:rPr>
          <w:rFonts w:hint="default" w:ascii="Times New Roman CYR" w:hAnsi="Times New Roman CYR" w:eastAsia="Times New Roman CYR"/>
          <w:sz w:val="24"/>
          <w:szCs w:val="24"/>
        </w:rPr>
      </w:pPr>
    </w:p>
    <w:p w14:paraId="5DB1E703">
      <w:pPr>
        <w:spacing w:beforeLines="0" w:afterLines="0"/>
        <w:rPr>
          <w:rFonts w:hint="default" w:ascii="Times New Roman CYR" w:hAnsi="Times New Roman CYR" w:eastAsia="Times New Roman CYR"/>
          <w:sz w:val="24"/>
          <w:szCs w:val="24"/>
        </w:rPr>
      </w:pPr>
    </w:p>
    <w:p w14:paraId="72DA0650">
      <w:pPr>
        <w:spacing w:beforeLines="0" w:afterLines="0"/>
        <w:rPr>
          <w:rFonts w:hint="default" w:ascii="Times New Roman CYR" w:hAnsi="Times New Roman CYR" w:eastAsia="Times New Roman CYR"/>
          <w:sz w:val="24"/>
          <w:szCs w:val="24"/>
        </w:rPr>
      </w:pPr>
    </w:p>
    <w:p w14:paraId="68AF5F1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441ECEA6">
      <w:pPr>
        <w:spacing w:beforeLines="0" w:afterLines="0"/>
        <w:rPr>
          <w:rFonts w:hint="default" w:ascii="Times New Roman CYR" w:hAnsi="Times New Roman CYR" w:eastAsia="Times New Roman CYR"/>
          <w:sz w:val="24"/>
          <w:szCs w:val="24"/>
        </w:rPr>
      </w:pPr>
    </w:p>
    <w:p w14:paraId="6562EB06">
      <w:pPr>
        <w:spacing w:beforeLines="0" w:afterLines="0"/>
        <w:rPr>
          <w:rFonts w:hint="default" w:ascii="Times New Roman CYR" w:hAnsi="Times New Roman CYR" w:eastAsia="Times New Roman CYR"/>
          <w:sz w:val="24"/>
          <w:szCs w:val="24"/>
        </w:rPr>
      </w:pPr>
    </w:p>
    <w:p w14:paraId="2AD37CBF">
      <w:pPr>
        <w:spacing w:beforeLines="0" w:afterLines="0"/>
        <w:rPr>
          <w:rFonts w:hint="default" w:ascii="Times New Roman CYR" w:hAnsi="Times New Roman CYR" w:eastAsia="Times New Roman CYR"/>
          <w:sz w:val="24"/>
          <w:szCs w:val="24"/>
        </w:rPr>
      </w:pPr>
    </w:p>
    <w:p w14:paraId="1FCB838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основних засобiв по роках:  2021 рiк - 1602 тис.грн., 2022 рiк - 3775 тис.грн., 2023 рiк - 893 тис.грн., 2024 рiк - 279 тис.грн., 2025 рiк - 1072 тис.грн.  Вибуло основних засобiв по роках: 2021 рiк - 898 тис.грн., 2022 рiк - 4914 тис.грн., 2023 рiк - 2380 тис.грн., 2024 рiк - 40 тис.грн., 2025 рiк - 1360 тис.грн.</w:t>
      </w:r>
    </w:p>
    <w:p w14:paraId="704F429B">
      <w:pPr>
        <w:spacing w:beforeLines="0" w:afterLines="0"/>
        <w:rPr>
          <w:rFonts w:hint="default" w:ascii="Times New Roman CYR" w:hAnsi="Times New Roman CYR" w:eastAsia="Times New Roman CYR"/>
          <w:sz w:val="24"/>
          <w:szCs w:val="24"/>
        </w:rPr>
      </w:pPr>
    </w:p>
    <w:p w14:paraId="388D10E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Будь-якi значнi iнвестицiї або придбання не плануються.</w:t>
      </w:r>
    </w:p>
    <w:p w14:paraId="35078816">
      <w:pPr>
        <w:spacing w:beforeLines="0" w:afterLines="0"/>
        <w:rPr>
          <w:rFonts w:hint="default" w:ascii="Times New Roman CYR" w:hAnsi="Times New Roman CYR" w:eastAsia="Times New Roman CYR"/>
          <w:sz w:val="24"/>
          <w:szCs w:val="24"/>
        </w:rPr>
      </w:pPr>
    </w:p>
    <w:p w14:paraId="21DA6F26">
      <w:pPr>
        <w:spacing w:beforeLines="0" w:afterLines="0"/>
        <w:rPr>
          <w:rFonts w:hint="default" w:ascii="Times New Roman CYR" w:hAnsi="Times New Roman CYR" w:eastAsia="Times New Roman CYR"/>
          <w:sz w:val="24"/>
          <w:szCs w:val="24"/>
        </w:rPr>
      </w:pPr>
    </w:p>
    <w:p w14:paraId="2D819394">
      <w:pPr>
        <w:spacing w:beforeLines="0" w:afterLines="0"/>
        <w:rPr>
          <w:rFonts w:hint="default" w:ascii="Times New Roman CYR" w:hAnsi="Times New Roman CYR" w:eastAsia="Times New Roman CYR"/>
          <w:sz w:val="24"/>
          <w:szCs w:val="24"/>
        </w:rPr>
      </w:pPr>
    </w:p>
    <w:p w14:paraId="389EC74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29639477">
      <w:pPr>
        <w:spacing w:beforeLines="0" w:afterLines="0"/>
        <w:rPr>
          <w:rFonts w:hint="default" w:ascii="Times New Roman CYR" w:hAnsi="Times New Roman CYR" w:eastAsia="Times New Roman CYR"/>
          <w:sz w:val="24"/>
          <w:szCs w:val="24"/>
        </w:rPr>
      </w:pPr>
    </w:p>
    <w:p w14:paraId="1BF079E4">
      <w:pPr>
        <w:spacing w:beforeLines="0" w:afterLines="0"/>
        <w:rPr>
          <w:rFonts w:hint="default" w:ascii="Times New Roman CYR" w:hAnsi="Times New Roman CYR" w:eastAsia="Times New Roman CYR"/>
          <w:sz w:val="24"/>
          <w:szCs w:val="24"/>
        </w:rPr>
      </w:pPr>
    </w:p>
    <w:p w14:paraId="52151959">
      <w:pPr>
        <w:spacing w:beforeLines="0" w:afterLines="0"/>
        <w:rPr>
          <w:rFonts w:hint="default" w:ascii="Times New Roman CYR" w:hAnsi="Times New Roman CYR" w:eastAsia="Times New Roman CYR"/>
          <w:sz w:val="24"/>
          <w:szCs w:val="24"/>
        </w:rPr>
      </w:pPr>
    </w:p>
    <w:p w14:paraId="2BD3E6C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Станом на 31.12.2025 р. первiсна вартiсть основних засобiв становить 37411  тис.грн., а саме:</w:t>
      </w:r>
    </w:p>
    <w:p w14:paraId="2422BB2D">
      <w:pPr>
        <w:spacing w:beforeLines="0" w:afterLines="0"/>
        <w:rPr>
          <w:rFonts w:hint="default" w:ascii="Times New Roman CYR" w:hAnsi="Times New Roman CYR" w:eastAsia="Times New Roman CYR"/>
          <w:sz w:val="24"/>
          <w:szCs w:val="24"/>
        </w:rPr>
      </w:pPr>
    </w:p>
    <w:p w14:paraId="2C2FCD9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будiвлi i споруди 25329 тис.грн., машини та обладнання 6124 тис.грн., транспортнi засоби 2562 тис.грн., земельнi дiлянки 824 тис.грн., iншi 2572 тис.грн. </w:t>
      </w:r>
    </w:p>
    <w:p w14:paraId="2FEA87E7">
      <w:pPr>
        <w:spacing w:beforeLines="0" w:afterLines="0"/>
        <w:rPr>
          <w:rFonts w:hint="default" w:ascii="Times New Roman CYR" w:hAnsi="Times New Roman CYR" w:eastAsia="Times New Roman CYR"/>
          <w:sz w:val="24"/>
          <w:szCs w:val="24"/>
        </w:rPr>
      </w:pPr>
    </w:p>
    <w:p w14:paraId="6DFD1B7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Виробничi потужностi використовуються вiдповiдно до обсягiв замовлень на будiвельно-монтажнi роботи. Ступiнь використання основних засобiв 100%.   Обмеження у використаннi основних засобiв вiдсутнi.</w:t>
      </w:r>
    </w:p>
    <w:p w14:paraId="2765D051">
      <w:pPr>
        <w:spacing w:beforeLines="0" w:afterLines="0"/>
        <w:rPr>
          <w:rFonts w:hint="default" w:ascii="Times New Roman CYR" w:hAnsi="Times New Roman CYR" w:eastAsia="Times New Roman CYR"/>
          <w:sz w:val="24"/>
          <w:szCs w:val="24"/>
        </w:rPr>
      </w:pPr>
    </w:p>
    <w:p w14:paraId="623F333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Основнi засоби Товариства згрупованi вiдповiдно до їх функцiонального призначення та класифiкацiї, визначеної облiковою полiтикою пiдприємства. До складу основних засобiв належать будiвлi та споруди, машини та обладнання, транспортнi засоби, iнструменти, прилади та iнвентар, а також iншi основнi засоби.</w:t>
      </w:r>
    </w:p>
    <w:p w14:paraId="63A09935">
      <w:pPr>
        <w:spacing w:beforeLines="0" w:afterLines="0"/>
        <w:rPr>
          <w:rFonts w:hint="default" w:ascii="Times New Roman CYR" w:hAnsi="Times New Roman CYR" w:eastAsia="Times New Roman CYR"/>
          <w:sz w:val="24"/>
          <w:szCs w:val="24"/>
        </w:rPr>
      </w:pPr>
    </w:p>
    <w:p w14:paraId="56489B2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Строки корисного використання об'єктiв основних засобiв встановлюються з урахуванням вимог чинного податкового законодавства та застосовуються при нарахуваннi амортизацiї. При визначеннi строкiв експлуатацiї враховуються технiчнi характеристики активiв, очiкуваний строк їх корисного використання, умови експлуатацiї, а також рiвень фiзичного та морального зносу. У разi необхiдностi строки корисного використання переглядаються вiдповiдно до змiн умов експлуатацiї або технiчного стану об'єктiв.</w:t>
      </w:r>
    </w:p>
    <w:p w14:paraId="558A068C">
      <w:pPr>
        <w:spacing w:beforeLines="0" w:afterLines="0"/>
        <w:rPr>
          <w:rFonts w:hint="default" w:ascii="Times New Roman CYR" w:hAnsi="Times New Roman CYR" w:eastAsia="Times New Roman CYR"/>
          <w:sz w:val="24"/>
          <w:szCs w:val="24"/>
        </w:rPr>
      </w:pPr>
    </w:p>
    <w:p w14:paraId="55A89DF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Експлуатацiя основних засобiв здiйснюється в умовах, що вiдповiдають їх технiчним характеристикам та призначенню. Об'єкти використовуються переважно у звичайному режимi роботи. Товариством забезпечується  технiчне обслуговування основних засобiв, проводяться ремонтнi роботи з метою пiдтримання їх у робочому станi.</w:t>
      </w:r>
    </w:p>
    <w:p w14:paraId="6C7D614D">
      <w:pPr>
        <w:spacing w:beforeLines="0" w:afterLines="0"/>
        <w:rPr>
          <w:rFonts w:hint="default" w:ascii="Times New Roman CYR" w:hAnsi="Times New Roman CYR" w:eastAsia="Times New Roman CYR"/>
          <w:sz w:val="24"/>
          <w:szCs w:val="24"/>
        </w:rPr>
      </w:pPr>
    </w:p>
    <w:p w14:paraId="0C3C9BD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Ступiнь використання основних засобiв характеризується рiвнем їх фактичного завантаження у процесi господарської дiяльностi. Бiльшiсть об'єктiв основних засобiв використовується за призначенням та забезпечує отримання економiчних вигод. </w:t>
      </w:r>
    </w:p>
    <w:p w14:paraId="544F3C3E">
      <w:pPr>
        <w:spacing w:beforeLines="0" w:afterLines="0"/>
        <w:rPr>
          <w:rFonts w:hint="default" w:ascii="Times New Roman CYR" w:hAnsi="Times New Roman CYR" w:eastAsia="Times New Roman CYR"/>
          <w:sz w:val="24"/>
          <w:szCs w:val="24"/>
        </w:rPr>
      </w:pPr>
    </w:p>
    <w:p w14:paraId="327A8DD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Мiсцезнаходження основних засобiв: м. Київ вул. Левандовська, буд.3/Б.</w:t>
      </w:r>
    </w:p>
    <w:p w14:paraId="62126783">
      <w:pPr>
        <w:spacing w:beforeLines="0" w:afterLines="0"/>
        <w:rPr>
          <w:rFonts w:hint="default" w:ascii="Times New Roman CYR" w:hAnsi="Times New Roman CYR" w:eastAsia="Times New Roman CYR"/>
          <w:sz w:val="24"/>
          <w:szCs w:val="24"/>
        </w:rPr>
      </w:pPr>
    </w:p>
    <w:p w14:paraId="7279686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Екологiчнi питання на використання активiв пiдприємства не впливають. Капiтальне будiвництво, розширення або удосконалення основних засобiв не планується.</w:t>
      </w:r>
    </w:p>
    <w:p w14:paraId="4C5976F1">
      <w:pPr>
        <w:spacing w:beforeLines="0" w:afterLines="0"/>
        <w:rPr>
          <w:rFonts w:hint="default" w:ascii="Times New Roman CYR" w:hAnsi="Times New Roman CYR" w:eastAsia="Times New Roman CYR"/>
          <w:sz w:val="24"/>
          <w:szCs w:val="24"/>
        </w:rPr>
      </w:pPr>
    </w:p>
    <w:p w14:paraId="2F53639B">
      <w:pPr>
        <w:spacing w:beforeLines="0" w:afterLines="0"/>
        <w:rPr>
          <w:rFonts w:hint="default" w:ascii="Times New Roman CYR" w:hAnsi="Times New Roman CYR" w:eastAsia="Times New Roman CYR"/>
          <w:sz w:val="24"/>
          <w:szCs w:val="24"/>
        </w:rPr>
      </w:pPr>
    </w:p>
    <w:p w14:paraId="5F53CF59">
      <w:pPr>
        <w:spacing w:beforeLines="0" w:afterLines="0"/>
        <w:rPr>
          <w:rFonts w:hint="default" w:ascii="Times New Roman CYR" w:hAnsi="Times New Roman CYR" w:eastAsia="Times New Roman CYR"/>
          <w:sz w:val="24"/>
          <w:szCs w:val="24"/>
        </w:rPr>
      </w:pPr>
    </w:p>
    <w:p w14:paraId="61CDE55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0775A388">
      <w:pPr>
        <w:spacing w:beforeLines="0" w:afterLines="0"/>
        <w:rPr>
          <w:rFonts w:hint="default" w:ascii="Times New Roman CYR" w:hAnsi="Times New Roman CYR" w:eastAsia="Times New Roman CYR"/>
          <w:sz w:val="24"/>
          <w:szCs w:val="24"/>
        </w:rPr>
      </w:pPr>
    </w:p>
    <w:p w14:paraId="3F1FF7AA">
      <w:pPr>
        <w:spacing w:beforeLines="0" w:afterLines="0"/>
        <w:rPr>
          <w:rFonts w:hint="default" w:ascii="Times New Roman CYR" w:hAnsi="Times New Roman CYR" w:eastAsia="Times New Roman CYR"/>
          <w:sz w:val="24"/>
          <w:szCs w:val="24"/>
        </w:rPr>
      </w:pPr>
    </w:p>
    <w:p w14:paraId="240B2526">
      <w:pPr>
        <w:spacing w:beforeLines="0" w:afterLines="0"/>
        <w:rPr>
          <w:rFonts w:hint="default" w:ascii="Times New Roman CYR" w:hAnsi="Times New Roman CYR" w:eastAsia="Times New Roman CYR"/>
          <w:sz w:val="24"/>
          <w:szCs w:val="24"/>
        </w:rPr>
      </w:pPr>
    </w:p>
    <w:p w14:paraId="3AE0150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Через запровадження воєнного стану галузь будiвництва та ринок нерухомостi, як i iншi галузi економiки, опинилися на межi колапсу в умовах воєнних дiй. Дiяльнiсть Товариства безпосередньо залежить вiд обсягiв фiнансування будiвництва його партнерами. Коливання цiн на будiвельнi матерiали та енергоносiї пiдвищують собiвартiсть послуг. Дiяльнiсть пiдприємства суворо регламентована необхiднiстю наявностi дiючих лiцензiй на проведення спецiалiзованих будiвельних та монтажних робiт. Дiяльнiсть Товариства також залежить вiд змiн податкового законодавства. Спостерiгається дефiцит квалiфiкованих кадрiв. </w:t>
      </w:r>
    </w:p>
    <w:p w14:paraId="40FA7A40">
      <w:pPr>
        <w:spacing w:beforeLines="0" w:afterLines="0"/>
        <w:rPr>
          <w:rFonts w:hint="default" w:ascii="Times New Roman CYR" w:hAnsi="Times New Roman CYR" w:eastAsia="Times New Roman CYR"/>
          <w:sz w:val="24"/>
          <w:szCs w:val="24"/>
        </w:rPr>
      </w:pPr>
    </w:p>
    <w:p w14:paraId="51BAF3E1">
      <w:pPr>
        <w:spacing w:beforeLines="0" w:afterLines="0"/>
        <w:rPr>
          <w:rFonts w:hint="default" w:ascii="Times New Roman CYR" w:hAnsi="Times New Roman CYR" w:eastAsia="Times New Roman CYR"/>
          <w:sz w:val="24"/>
          <w:szCs w:val="24"/>
        </w:rPr>
      </w:pPr>
    </w:p>
    <w:p w14:paraId="09297157">
      <w:pPr>
        <w:spacing w:beforeLines="0" w:afterLines="0"/>
        <w:rPr>
          <w:rFonts w:hint="default" w:ascii="Times New Roman CYR" w:hAnsi="Times New Roman CYR" w:eastAsia="Times New Roman CYR"/>
          <w:sz w:val="24"/>
          <w:szCs w:val="24"/>
        </w:rPr>
      </w:pPr>
    </w:p>
    <w:p w14:paraId="61B0102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0724179E">
      <w:pPr>
        <w:spacing w:beforeLines="0" w:afterLines="0"/>
        <w:rPr>
          <w:rFonts w:hint="default" w:ascii="Times New Roman CYR" w:hAnsi="Times New Roman CYR" w:eastAsia="Times New Roman CYR"/>
          <w:sz w:val="24"/>
          <w:szCs w:val="24"/>
        </w:rPr>
      </w:pPr>
    </w:p>
    <w:p w14:paraId="37B3EB2E">
      <w:pPr>
        <w:spacing w:beforeLines="0" w:afterLines="0"/>
        <w:rPr>
          <w:rFonts w:hint="default" w:ascii="Times New Roman CYR" w:hAnsi="Times New Roman CYR" w:eastAsia="Times New Roman CYR"/>
          <w:sz w:val="24"/>
          <w:szCs w:val="24"/>
        </w:rPr>
      </w:pPr>
    </w:p>
    <w:p w14:paraId="4DEA1DD4">
      <w:pPr>
        <w:spacing w:beforeLines="0" w:afterLines="0"/>
        <w:rPr>
          <w:rFonts w:hint="default" w:ascii="Times New Roman CYR" w:hAnsi="Times New Roman CYR" w:eastAsia="Times New Roman CYR"/>
          <w:sz w:val="24"/>
          <w:szCs w:val="24"/>
        </w:rPr>
      </w:pPr>
    </w:p>
    <w:p w14:paraId="5B8858F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2186EEEE">
      <w:pPr>
        <w:spacing w:beforeLines="0" w:afterLines="0"/>
        <w:rPr>
          <w:rFonts w:hint="default" w:ascii="Times New Roman CYR" w:hAnsi="Times New Roman CYR" w:eastAsia="Times New Roman CYR"/>
          <w:sz w:val="24"/>
          <w:szCs w:val="24"/>
        </w:rPr>
      </w:pPr>
    </w:p>
    <w:p w14:paraId="237B859F">
      <w:pPr>
        <w:spacing w:beforeLines="0" w:afterLines="0"/>
        <w:rPr>
          <w:rFonts w:hint="default" w:ascii="Times New Roman CYR" w:hAnsi="Times New Roman CYR" w:eastAsia="Times New Roman CYR"/>
          <w:sz w:val="24"/>
          <w:szCs w:val="24"/>
        </w:rPr>
      </w:pPr>
    </w:p>
    <w:p w14:paraId="4A1A861D">
      <w:pPr>
        <w:spacing w:beforeLines="0" w:afterLines="0"/>
        <w:rPr>
          <w:rFonts w:hint="default" w:ascii="Times New Roman CYR" w:hAnsi="Times New Roman CYR" w:eastAsia="Times New Roman CYR"/>
          <w:sz w:val="24"/>
          <w:szCs w:val="24"/>
        </w:rPr>
      </w:pPr>
    </w:p>
    <w:p w14:paraId="0DC698A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259CFD48">
      <w:pPr>
        <w:spacing w:beforeLines="0" w:afterLines="0"/>
        <w:rPr>
          <w:rFonts w:hint="default" w:ascii="Times New Roman CYR" w:hAnsi="Times New Roman CYR" w:eastAsia="Times New Roman CYR"/>
          <w:sz w:val="24"/>
          <w:szCs w:val="24"/>
        </w:rPr>
      </w:pPr>
    </w:p>
    <w:p w14:paraId="5DD608D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Середньооблiкова чисельнiсть штатних працiвникiв - 32 осiб. Позаштатних працiвникiв - 1 та осiб, якi працюють за сумiсництвом - 1, працiвникiв, якi працюють на умовах неповного робочого часу (дня, тижня) - 6. </w:t>
      </w:r>
    </w:p>
    <w:p w14:paraId="6BBD3CDE">
      <w:pPr>
        <w:spacing w:beforeLines="0" w:afterLines="0"/>
        <w:rPr>
          <w:rFonts w:hint="default" w:ascii="Times New Roman CYR" w:hAnsi="Times New Roman CYR" w:eastAsia="Times New Roman CYR"/>
          <w:sz w:val="24"/>
          <w:szCs w:val="24"/>
        </w:rPr>
      </w:pPr>
    </w:p>
    <w:p w14:paraId="254EF10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Розмiр фонду оплати працi за звiтний перiод   14655,873  тис.грн.</w:t>
      </w:r>
    </w:p>
    <w:p w14:paraId="74BC96F8">
      <w:pPr>
        <w:spacing w:beforeLines="0" w:afterLines="0"/>
        <w:rPr>
          <w:rFonts w:hint="default" w:ascii="Times New Roman CYR" w:hAnsi="Times New Roman CYR" w:eastAsia="Times New Roman CYR"/>
          <w:sz w:val="24"/>
          <w:szCs w:val="24"/>
        </w:rPr>
      </w:pPr>
    </w:p>
    <w:p w14:paraId="3EAE5882">
      <w:pPr>
        <w:spacing w:beforeLines="0" w:afterLines="0"/>
        <w:rPr>
          <w:rFonts w:hint="default" w:ascii="Times New Roman CYR" w:hAnsi="Times New Roman CYR" w:eastAsia="Times New Roman CYR"/>
          <w:sz w:val="24"/>
          <w:szCs w:val="24"/>
        </w:rPr>
      </w:pPr>
    </w:p>
    <w:p w14:paraId="323A2E84">
      <w:pPr>
        <w:spacing w:beforeLines="0" w:afterLines="0"/>
        <w:rPr>
          <w:rFonts w:hint="default" w:ascii="Times New Roman CYR" w:hAnsi="Times New Roman CYR" w:eastAsia="Times New Roman CYR"/>
          <w:sz w:val="24"/>
          <w:szCs w:val="24"/>
        </w:rPr>
      </w:pPr>
    </w:p>
    <w:p w14:paraId="0B28F0D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37458D55">
      <w:pPr>
        <w:spacing w:beforeLines="0" w:afterLines="0"/>
        <w:rPr>
          <w:rFonts w:hint="default" w:ascii="Times New Roman CYR" w:hAnsi="Times New Roman CYR" w:eastAsia="Times New Roman CYR"/>
          <w:sz w:val="24"/>
          <w:szCs w:val="24"/>
        </w:rPr>
      </w:pPr>
    </w:p>
    <w:p w14:paraId="5AD6ACF7">
      <w:pPr>
        <w:spacing w:beforeLines="0" w:afterLines="0"/>
        <w:rPr>
          <w:rFonts w:hint="default" w:ascii="Times New Roman CYR" w:hAnsi="Times New Roman CYR" w:eastAsia="Times New Roman CYR"/>
          <w:sz w:val="24"/>
          <w:szCs w:val="24"/>
        </w:rPr>
      </w:pPr>
    </w:p>
    <w:p w14:paraId="290EC822">
      <w:pPr>
        <w:spacing w:beforeLines="0" w:afterLines="0"/>
        <w:rPr>
          <w:rFonts w:hint="default" w:ascii="Times New Roman CYR" w:hAnsi="Times New Roman CYR" w:eastAsia="Times New Roman CYR"/>
          <w:sz w:val="24"/>
          <w:szCs w:val="24"/>
        </w:rPr>
      </w:pPr>
    </w:p>
    <w:p w14:paraId="511067A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410D57AE">
      <w:pPr>
        <w:spacing w:beforeLines="0" w:afterLines="0"/>
        <w:rPr>
          <w:rFonts w:hint="default" w:ascii="Times New Roman CYR" w:hAnsi="Times New Roman CYR" w:eastAsia="Times New Roman CYR"/>
          <w:sz w:val="24"/>
          <w:szCs w:val="24"/>
        </w:rPr>
      </w:pPr>
    </w:p>
    <w:p w14:paraId="0B2AE494">
      <w:pPr>
        <w:spacing w:beforeLines="0" w:afterLines="0"/>
        <w:rPr>
          <w:rFonts w:hint="default" w:ascii="Times New Roman CYR" w:hAnsi="Times New Roman CYR" w:eastAsia="Times New Roman CYR"/>
          <w:sz w:val="24"/>
          <w:szCs w:val="24"/>
        </w:rPr>
      </w:pPr>
    </w:p>
    <w:p w14:paraId="7D1A8115">
      <w:pPr>
        <w:spacing w:beforeLines="0" w:afterLines="0"/>
        <w:rPr>
          <w:rFonts w:hint="default" w:ascii="Times New Roman CYR" w:hAnsi="Times New Roman CYR" w:eastAsia="Times New Roman CYR"/>
          <w:sz w:val="24"/>
          <w:szCs w:val="24"/>
        </w:rPr>
      </w:pPr>
    </w:p>
    <w:p w14:paraId="341DDE7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0108241F">
      <w:pPr>
        <w:spacing w:beforeLines="0" w:afterLines="0"/>
        <w:rPr>
          <w:rFonts w:hint="default" w:ascii="Times New Roman CYR" w:hAnsi="Times New Roman CYR" w:eastAsia="Times New Roman CYR"/>
          <w:sz w:val="24"/>
          <w:szCs w:val="24"/>
        </w:rPr>
      </w:pPr>
    </w:p>
    <w:p w14:paraId="5B5F7903">
      <w:pPr>
        <w:spacing w:beforeLines="0" w:afterLines="0"/>
        <w:rPr>
          <w:rFonts w:hint="default" w:ascii="Times New Roman CYR" w:hAnsi="Times New Roman CYR" w:eastAsia="Times New Roman CYR"/>
          <w:sz w:val="24"/>
          <w:szCs w:val="24"/>
        </w:rPr>
      </w:pPr>
    </w:p>
    <w:p w14:paraId="34236A16">
      <w:pPr>
        <w:spacing w:beforeLines="0" w:afterLines="0"/>
        <w:rPr>
          <w:rFonts w:hint="default" w:ascii="Times New Roman CYR" w:hAnsi="Times New Roman CYR" w:eastAsia="Times New Roman CYR"/>
          <w:sz w:val="24"/>
          <w:szCs w:val="24"/>
        </w:rPr>
      </w:pPr>
    </w:p>
    <w:p w14:paraId="0D49C02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525BEA79">
      <w:pPr>
        <w:spacing w:beforeLines="0" w:afterLines="0"/>
        <w:jc w:val="left"/>
        <w:rPr>
          <w:rFonts w:hint="default" w:ascii="Times New Roman CYR" w:hAnsi="Times New Roman CYR" w:eastAsia="Times New Roman CYR"/>
          <w:sz w:val="24"/>
          <w:szCs w:val="24"/>
        </w:rPr>
      </w:pPr>
    </w:p>
    <w:p w14:paraId="59190D0E">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отриманих особою ліцензій</w:t>
      </w:r>
    </w:p>
    <w:tbl>
      <w:tblPr>
        <w:tblStyle w:val="3"/>
        <w:tblW w:w="0" w:type="auto"/>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155"/>
        <w:gridCol w:w="1500"/>
        <w:gridCol w:w="1065"/>
        <w:gridCol w:w="3000"/>
        <w:gridCol w:w="1200"/>
      </w:tblGrid>
      <w:tr w14:paraId="016C74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220C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діяльності</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0D58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393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2508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 державної влади, що видав ліцензію</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9DEF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закінчення строку дії ліцензії (за наявності)</w:t>
            </w:r>
          </w:p>
        </w:tc>
      </w:tr>
      <w:tr w14:paraId="632513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D5F6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8B30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8BB7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F5C0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1144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r>
      <w:tr w14:paraId="0D52B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top"/>
          </w:tcPr>
          <w:p w14:paraId="245A67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послуг i виконання робiт протипожежного призначення</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22E3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АЕ №522839</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14:paraId="1550A1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25.12.2014</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8FEE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СЛУЖБА УКРАЇНИ З НАДЗВИЧАЙНИХ СИТУАЦIЙ</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FFEAE7">
            <w:pPr>
              <w:spacing w:beforeLines="0" w:afterLines="0"/>
              <w:jc w:val="center"/>
              <w:rPr>
                <w:rFonts w:hint="default" w:ascii="Times New Roman CYR" w:hAnsi="Times New Roman CYR" w:eastAsia="Times New Roman CYR"/>
                <w:sz w:val="22"/>
                <w:szCs w:val="24"/>
              </w:rPr>
            </w:pPr>
          </w:p>
        </w:tc>
      </w:tr>
      <w:tr w14:paraId="4E8E1F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top"/>
          </w:tcPr>
          <w:p w14:paraId="559C83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Господарська дiяльнiсть у будiвництвi, повязана iз створенням об'єктiв архiтектури</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A982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19 - Л</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14:paraId="4EE564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25.05.2016</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13F3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АРХIТЕКТУРНО-БУДIВЕЛЬНА IНСПЕКЦIЯ  УКРАЇНИ</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3F34F6">
            <w:pPr>
              <w:spacing w:beforeLines="0" w:afterLines="0"/>
              <w:jc w:val="center"/>
              <w:rPr>
                <w:rFonts w:hint="default" w:ascii="Times New Roman CYR" w:hAnsi="Times New Roman CYR" w:eastAsia="Times New Roman CYR"/>
                <w:sz w:val="22"/>
                <w:szCs w:val="24"/>
              </w:rPr>
            </w:pPr>
          </w:p>
        </w:tc>
      </w:tr>
    </w:tbl>
    <w:p w14:paraId="06741E43">
      <w:pPr>
        <w:spacing w:beforeLines="0" w:afterLines="0"/>
        <w:jc w:val="left"/>
        <w:rPr>
          <w:rFonts w:hint="default" w:ascii="Times New Roman CYR" w:hAnsi="Times New Roman CYR" w:eastAsia="Times New Roman CYR"/>
          <w:sz w:val="22"/>
          <w:szCs w:val="24"/>
        </w:rPr>
      </w:pPr>
    </w:p>
    <w:p w14:paraId="423748D9">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основні засоби (за залишковою вартістю)</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58"/>
        <w:gridCol w:w="1260"/>
        <w:gridCol w:w="1080"/>
        <w:gridCol w:w="1260"/>
        <w:gridCol w:w="1080"/>
        <w:gridCol w:w="1260"/>
        <w:gridCol w:w="1082"/>
      </w:tblGrid>
      <w:tr w14:paraId="1A4003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77744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основних засобів</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9D2F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Власні основні засоби, тис. грн</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C867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Орендовані основні засоби, тис. грн</w:t>
            </w:r>
          </w:p>
        </w:tc>
        <w:tc>
          <w:tcPr>
            <w:tcW w:w="23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1280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 усього, тис. грн</w:t>
            </w:r>
          </w:p>
        </w:tc>
      </w:tr>
      <w:tr w14:paraId="50DF35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B87C10B">
            <w:pPr>
              <w:spacing w:beforeLines="0" w:afterLines="0"/>
              <w:jc w:val="center"/>
              <w:rPr>
                <w:rFonts w:hint="default" w:ascii="Times New Roman CYR" w:hAnsi="Times New Roman CYR" w:eastAsia="Times New Roman CYR"/>
                <w:sz w:val="22"/>
                <w:szCs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C90C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3DD6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1AA9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27B1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57AB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DA7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r>
      <w:tr w14:paraId="5D8886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A0E9E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237D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15 063</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EDFF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12 764</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BB3F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E2C2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D95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15 063</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BB3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12 764</w:t>
            </w:r>
          </w:p>
        </w:tc>
      </w:tr>
      <w:tr w14:paraId="293195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8C6F9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4C55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12 513</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6938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9 916</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F94E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1C0B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3D0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12 513</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0B1B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9 916</w:t>
            </w:r>
          </w:p>
        </w:tc>
      </w:tr>
      <w:tr w14:paraId="2CBC23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B588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96BC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1 397</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DC9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1 854</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6236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268E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DF96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1 397</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5B2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1 854</w:t>
            </w:r>
          </w:p>
        </w:tc>
      </w:tr>
      <w:tr w14:paraId="08EA51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884F8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49F9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276</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CEFC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6DB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C65F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E800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276</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B928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w:t>
            </w:r>
          </w:p>
        </w:tc>
      </w:tr>
      <w:tr w14:paraId="01F3B6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BF4FA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B0D7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FCD3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E7A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262B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28EA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169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9BF0F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57898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6014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877</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11C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893</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5D13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BB5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E899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877</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A9B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893</w:t>
            </w:r>
          </w:p>
        </w:tc>
      </w:tr>
      <w:tr w14:paraId="69E5F5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044DC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Невиробничого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57EC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4 787</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6133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5 043</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FE96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AA3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631E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4 787</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C0E1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5 043</w:t>
            </w:r>
          </w:p>
        </w:tc>
      </w:tr>
      <w:tr w14:paraId="73B180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DD380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77D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3 963</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B65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4 219</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40C6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C2D9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3787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3 963</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2F6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4 219</w:t>
            </w:r>
          </w:p>
        </w:tc>
      </w:tr>
      <w:tr w14:paraId="7EF78A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281F2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5601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78B6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6247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92D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E756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5D9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CE94D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8D370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6A88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1F7E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306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9115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F5E8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4F8B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7A9B4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67A9C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9D22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3C1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5566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6431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1AB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B041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r>
      <w:tr w14:paraId="350421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A5C7E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інвестиційна нерухомість</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DF12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B7B2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A7AC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E48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99F4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4A75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23F4E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AA9A8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677E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74F2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923A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8EEB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0748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48F0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0EBE2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DFFA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9D9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19 850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325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17 807</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D8BD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6AA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12B9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19 850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92D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17 807</w:t>
            </w:r>
          </w:p>
        </w:tc>
      </w:tr>
      <w:tr w14:paraId="668636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top"/>
          </w:tcPr>
          <w:p w14:paraId="3181620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702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375848A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Строки та умови користування основними засобами: прямолiнiйним методом, за нормами податкового законодавства.  </w:t>
            </w:r>
          </w:p>
          <w:p w14:paraId="5A703346">
            <w:pPr>
              <w:spacing w:beforeLines="0" w:afterLines="0"/>
              <w:rPr>
                <w:rFonts w:hint="default" w:ascii="Times New Roman CYR" w:hAnsi="Times New Roman CYR" w:eastAsia="Times New Roman CYR"/>
                <w:sz w:val="22"/>
                <w:szCs w:val="24"/>
              </w:rPr>
            </w:pPr>
          </w:p>
          <w:p w14:paraId="3AE6730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та споруди: 20 рокiв.</w:t>
            </w:r>
          </w:p>
          <w:p w14:paraId="729B6D61">
            <w:pPr>
              <w:spacing w:beforeLines="0" w:afterLines="0"/>
              <w:rPr>
                <w:rFonts w:hint="default" w:ascii="Times New Roman CYR" w:hAnsi="Times New Roman CYR" w:eastAsia="Times New Roman CYR"/>
                <w:sz w:val="22"/>
                <w:szCs w:val="24"/>
              </w:rPr>
            </w:pPr>
          </w:p>
          <w:p w14:paraId="1A1764C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Передавальнi пристрої: 10-15 рокiв.</w:t>
            </w:r>
          </w:p>
          <w:p w14:paraId="39EDF54F">
            <w:pPr>
              <w:spacing w:beforeLines="0" w:afterLines="0"/>
              <w:rPr>
                <w:rFonts w:hint="default" w:ascii="Times New Roman CYR" w:hAnsi="Times New Roman CYR" w:eastAsia="Times New Roman CYR"/>
                <w:sz w:val="22"/>
                <w:szCs w:val="24"/>
              </w:rPr>
            </w:pPr>
          </w:p>
          <w:p w14:paraId="623917F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5 рокiв.</w:t>
            </w:r>
          </w:p>
          <w:p w14:paraId="2D3503EE">
            <w:pPr>
              <w:spacing w:beforeLines="0" w:afterLines="0"/>
              <w:rPr>
                <w:rFonts w:hint="default" w:ascii="Times New Roman CYR" w:hAnsi="Times New Roman CYR" w:eastAsia="Times New Roman CYR"/>
                <w:sz w:val="22"/>
                <w:szCs w:val="24"/>
              </w:rPr>
            </w:pPr>
          </w:p>
          <w:p w14:paraId="75176F0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5 рокiв.</w:t>
            </w:r>
          </w:p>
          <w:p w14:paraId="2C29A5FB">
            <w:pPr>
              <w:spacing w:beforeLines="0" w:afterLines="0"/>
              <w:rPr>
                <w:rFonts w:hint="default" w:ascii="Times New Roman CYR" w:hAnsi="Times New Roman CYR" w:eastAsia="Times New Roman CYR"/>
                <w:sz w:val="22"/>
                <w:szCs w:val="24"/>
              </w:rPr>
            </w:pPr>
          </w:p>
          <w:p w14:paraId="6946C73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Iнструменти, прилади, iнвентар: 5 рокiв.</w:t>
            </w:r>
          </w:p>
          <w:p w14:paraId="3EF4C270">
            <w:pPr>
              <w:spacing w:beforeLines="0" w:afterLines="0"/>
              <w:rPr>
                <w:rFonts w:hint="default" w:ascii="Times New Roman CYR" w:hAnsi="Times New Roman CYR" w:eastAsia="Times New Roman CYR"/>
                <w:sz w:val="22"/>
                <w:szCs w:val="24"/>
              </w:rPr>
            </w:pPr>
          </w:p>
          <w:p w14:paraId="1B0E348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Станом на 31.12.2025 р. первiсна вартiсть основних засобiв становить 37411 тис.грн., а саме:</w:t>
            </w:r>
          </w:p>
          <w:p w14:paraId="6F357D9A">
            <w:pPr>
              <w:spacing w:beforeLines="0" w:afterLines="0"/>
              <w:rPr>
                <w:rFonts w:hint="default" w:ascii="Times New Roman CYR" w:hAnsi="Times New Roman CYR" w:eastAsia="Times New Roman CYR"/>
                <w:sz w:val="22"/>
                <w:szCs w:val="24"/>
              </w:rPr>
            </w:pPr>
          </w:p>
          <w:p w14:paraId="79FD88B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25329 тис.грн.,</w:t>
            </w:r>
          </w:p>
          <w:p w14:paraId="4C57A3B3">
            <w:pPr>
              <w:spacing w:beforeLines="0" w:afterLines="0"/>
              <w:rPr>
                <w:rFonts w:hint="default" w:ascii="Times New Roman CYR" w:hAnsi="Times New Roman CYR" w:eastAsia="Times New Roman CYR"/>
                <w:sz w:val="22"/>
                <w:szCs w:val="24"/>
              </w:rPr>
            </w:pPr>
          </w:p>
          <w:p w14:paraId="54575F5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6124 тис.грн.,</w:t>
            </w:r>
          </w:p>
          <w:p w14:paraId="0541EEAB">
            <w:pPr>
              <w:spacing w:beforeLines="0" w:afterLines="0"/>
              <w:rPr>
                <w:rFonts w:hint="default" w:ascii="Times New Roman CYR" w:hAnsi="Times New Roman CYR" w:eastAsia="Times New Roman CYR"/>
                <w:sz w:val="22"/>
                <w:szCs w:val="24"/>
              </w:rPr>
            </w:pPr>
          </w:p>
          <w:p w14:paraId="6747E17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2562 тис.грн.,</w:t>
            </w:r>
          </w:p>
          <w:p w14:paraId="50C79EDB">
            <w:pPr>
              <w:spacing w:beforeLines="0" w:afterLines="0"/>
              <w:rPr>
                <w:rFonts w:hint="default" w:ascii="Times New Roman CYR" w:hAnsi="Times New Roman CYR" w:eastAsia="Times New Roman CYR"/>
                <w:sz w:val="22"/>
                <w:szCs w:val="24"/>
              </w:rPr>
            </w:pPr>
          </w:p>
          <w:p w14:paraId="550FB3A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земельнi дiлянки 824 тис.грн.,</w:t>
            </w:r>
          </w:p>
          <w:p w14:paraId="5BE5EB11">
            <w:pPr>
              <w:spacing w:beforeLines="0" w:afterLines="0"/>
              <w:rPr>
                <w:rFonts w:hint="default" w:ascii="Times New Roman CYR" w:hAnsi="Times New Roman CYR" w:eastAsia="Times New Roman CYR"/>
                <w:sz w:val="22"/>
                <w:szCs w:val="24"/>
              </w:rPr>
            </w:pPr>
          </w:p>
          <w:p w14:paraId="4B60D27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2572 тис.грн.</w:t>
            </w:r>
          </w:p>
          <w:p w14:paraId="0F78CB4B">
            <w:pPr>
              <w:spacing w:beforeLines="0" w:afterLines="0"/>
              <w:rPr>
                <w:rFonts w:hint="default" w:ascii="Times New Roman CYR" w:hAnsi="Times New Roman CYR" w:eastAsia="Times New Roman CYR"/>
                <w:sz w:val="22"/>
                <w:szCs w:val="24"/>
              </w:rPr>
            </w:pPr>
          </w:p>
          <w:p w14:paraId="63797BB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Сума нарахованого зносу станом на 31.12.2025 р. становить 19604 тис.грн., а саме:</w:t>
            </w:r>
          </w:p>
          <w:p w14:paraId="5B83A8B9">
            <w:pPr>
              <w:spacing w:beforeLines="0" w:afterLines="0"/>
              <w:rPr>
                <w:rFonts w:hint="default" w:ascii="Times New Roman CYR" w:hAnsi="Times New Roman CYR" w:eastAsia="Times New Roman CYR"/>
                <w:sz w:val="22"/>
                <w:szCs w:val="24"/>
              </w:rPr>
            </w:pPr>
          </w:p>
          <w:p w14:paraId="6D586AF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11194 тис.грн.,</w:t>
            </w:r>
          </w:p>
          <w:p w14:paraId="5572E556">
            <w:pPr>
              <w:spacing w:beforeLines="0" w:afterLines="0"/>
              <w:rPr>
                <w:rFonts w:hint="default" w:ascii="Times New Roman CYR" w:hAnsi="Times New Roman CYR" w:eastAsia="Times New Roman CYR"/>
                <w:sz w:val="22"/>
                <w:szCs w:val="24"/>
              </w:rPr>
            </w:pPr>
          </w:p>
          <w:p w14:paraId="7C86C1D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4270 тис.грн.,</w:t>
            </w:r>
          </w:p>
          <w:p w14:paraId="1D830D3A">
            <w:pPr>
              <w:spacing w:beforeLines="0" w:afterLines="0"/>
              <w:rPr>
                <w:rFonts w:hint="default" w:ascii="Times New Roman CYR" w:hAnsi="Times New Roman CYR" w:eastAsia="Times New Roman CYR"/>
                <w:sz w:val="22"/>
                <w:szCs w:val="24"/>
              </w:rPr>
            </w:pPr>
          </w:p>
          <w:p w14:paraId="0AE6CFE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2461 тис.грн.,</w:t>
            </w:r>
          </w:p>
          <w:p w14:paraId="4CA2982C">
            <w:pPr>
              <w:spacing w:beforeLines="0" w:afterLines="0"/>
              <w:rPr>
                <w:rFonts w:hint="default" w:ascii="Times New Roman CYR" w:hAnsi="Times New Roman CYR" w:eastAsia="Times New Roman CYR"/>
                <w:sz w:val="22"/>
                <w:szCs w:val="24"/>
              </w:rPr>
            </w:pPr>
          </w:p>
          <w:p w14:paraId="0D45CAA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земельнi дiлянки 0 тис.грн.,</w:t>
            </w:r>
          </w:p>
          <w:p w14:paraId="33F545D4">
            <w:pPr>
              <w:spacing w:beforeLines="0" w:afterLines="0"/>
              <w:rPr>
                <w:rFonts w:hint="default" w:ascii="Times New Roman CYR" w:hAnsi="Times New Roman CYR" w:eastAsia="Times New Roman CYR"/>
                <w:sz w:val="22"/>
                <w:szCs w:val="24"/>
              </w:rPr>
            </w:pPr>
          </w:p>
          <w:p w14:paraId="1FF3637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1679 тис.грн.</w:t>
            </w:r>
          </w:p>
          <w:p w14:paraId="0E952E99">
            <w:pPr>
              <w:spacing w:beforeLines="0" w:afterLines="0"/>
              <w:rPr>
                <w:rFonts w:hint="default" w:ascii="Times New Roman CYR" w:hAnsi="Times New Roman CYR" w:eastAsia="Times New Roman CYR"/>
                <w:sz w:val="22"/>
                <w:szCs w:val="24"/>
              </w:rPr>
            </w:pPr>
          </w:p>
          <w:p w14:paraId="25F63B3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зносу основних засобiв становить 52,4%:</w:t>
            </w:r>
          </w:p>
          <w:p w14:paraId="03A9AB21">
            <w:pPr>
              <w:spacing w:beforeLines="0" w:afterLines="0"/>
              <w:rPr>
                <w:rFonts w:hint="default" w:ascii="Times New Roman CYR" w:hAnsi="Times New Roman CYR" w:eastAsia="Times New Roman CYR"/>
                <w:sz w:val="22"/>
                <w:szCs w:val="24"/>
              </w:rPr>
            </w:pPr>
          </w:p>
          <w:p w14:paraId="3780ADB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44,19%,</w:t>
            </w:r>
          </w:p>
          <w:p w14:paraId="2041B7C9">
            <w:pPr>
              <w:spacing w:beforeLines="0" w:afterLines="0"/>
              <w:rPr>
                <w:rFonts w:hint="default" w:ascii="Times New Roman CYR" w:hAnsi="Times New Roman CYR" w:eastAsia="Times New Roman CYR"/>
                <w:sz w:val="22"/>
                <w:szCs w:val="24"/>
              </w:rPr>
            </w:pPr>
          </w:p>
          <w:p w14:paraId="2508DE3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69,73%,</w:t>
            </w:r>
          </w:p>
          <w:p w14:paraId="1CC73E9C">
            <w:pPr>
              <w:spacing w:beforeLines="0" w:afterLines="0"/>
              <w:rPr>
                <w:rFonts w:hint="default" w:ascii="Times New Roman CYR" w:hAnsi="Times New Roman CYR" w:eastAsia="Times New Roman CYR"/>
                <w:sz w:val="22"/>
                <w:szCs w:val="24"/>
              </w:rPr>
            </w:pPr>
          </w:p>
          <w:p w14:paraId="682AA90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96,06%,</w:t>
            </w:r>
          </w:p>
          <w:p w14:paraId="7E6C213B">
            <w:pPr>
              <w:spacing w:beforeLines="0" w:afterLines="0"/>
              <w:rPr>
                <w:rFonts w:hint="default" w:ascii="Times New Roman CYR" w:hAnsi="Times New Roman CYR" w:eastAsia="Times New Roman CYR"/>
                <w:sz w:val="22"/>
                <w:szCs w:val="24"/>
              </w:rPr>
            </w:pPr>
          </w:p>
          <w:p w14:paraId="2583EC7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земельнi дiлянки 0%,</w:t>
            </w:r>
          </w:p>
          <w:p w14:paraId="3C3E6A58">
            <w:pPr>
              <w:spacing w:beforeLines="0" w:afterLines="0"/>
              <w:rPr>
                <w:rFonts w:hint="default" w:ascii="Times New Roman CYR" w:hAnsi="Times New Roman CYR" w:eastAsia="Times New Roman CYR"/>
                <w:sz w:val="22"/>
                <w:szCs w:val="24"/>
              </w:rPr>
            </w:pPr>
          </w:p>
          <w:p w14:paraId="2745C86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65,28%.</w:t>
            </w:r>
          </w:p>
          <w:p w14:paraId="4D66892D">
            <w:pPr>
              <w:spacing w:beforeLines="0" w:afterLines="0"/>
              <w:rPr>
                <w:rFonts w:hint="default" w:ascii="Times New Roman CYR" w:hAnsi="Times New Roman CYR" w:eastAsia="Times New Roman CYR"/>
                <w:sz w:val="22"/>
                <w:szCs w:val="24"/>
              </w:rPr>
            </w:pPr>
          </w:p>
          <w:p w14:paraId="380AEC5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використання основних засобiв 100%.</w:t>
            </w:r>
          </w:p>
          <w:p w14:paraId="7BF24272">
            <w:pPr>
              <w:spacing w:beforeLines="0" w:afterLines="0"/>
              <w:rPr>
                <w:rFonts w:hint="default" w:ascii="Times New Roman CYR" w:hAnsi="Times New Roman CYR" w:eastAsia="Times New Roman CYR"/>
                <w:sz w:val="22"/>
                <w:szCs w:val="24"/>
              </w:rPr>
            </w:pPr>
          </w:p>
          <w:p w14:paraId="4F6F7D2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Протягом звiтного року надiйшло основних засобiв на суму 1072 тис.грн., а саме: </w:t>
            </w:r>
          </w:p>
          <w:p w14:paraId="706A4D22">
            <w:pPr>
              <w:spacing w:beforeLines="0" w:afterLines="0"/>
              <w:rPr>
                <w:rFonts w:hint="default" w:ascii="Times New Roman CYR" w:hAnsi="Times New Roman CYR" w:eastAsia="Times New Roman CYR"/>
                <w:sz w:val="22"/>
                <w:szCs w:val="24"/>
              </w:rPr>
            </w:pPr>
          </w:p>
          <w:p w14:paraId="0A9E6E7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212 тис.грн.,</w:t>
            </w:r>
          </w:p>
          <w:p w14:paraId="47C5256A">
            <w:pPr>
              <w:spacing w:beforeLines="0" w:afterLines="0"/>
              <w:rPr>
                <w:rFonts w:hint="default" w:ascii="Times New Roman CYR" w:hAnsi="Times New Roman CYR" w:eastAsia="Times New Roman CYR"/>
                <w:sz w:val="22"/>
                <w:szCs w:val="24"/>
              </w:rPr>
            </w:pPr>
          </w:p>
          <w:p w14:paraId="47FF31E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711 тис.грн.,</w:t>
            </w:r>
          </w:p>
          <w:p w14:paraId="7A2E5090">
            <w:pPr>
              <w:spacing w:beforeLines="0" w:afterLines="0"/>
              <w:rPr>
                <w:rFonts w:hint="default" w:ascii="Times New Roman CYR" w:hAnsi="Times New Roman CYR" w:eastAsia="Times New Roman CYR"/>
                <w:sz w:val="22"/>
                <w:szCs w:val="24"/>
              </w:rPr>
            </w:pPr>
          </w:p>
          <w:p w14:paraId="43DA853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34 тис.грн.,</w:t>
            </w:r>
          </w:p>
          <w:p w14:paraId="69C31F23">
            <w:pPr>
              <w:spacing w:beforeLines="0" w:afterLines="0"/>
              <w:rPr>
                <w:rFonts w:hint="default" w:ascii="Times New Roman CYR" w:hAnsi="Times New Roman CYR" w:eastAsia="Times New Roman CYR"/>
                <w:sz w:val="22"/>
                <w:szCs w:val="24"/>
              </w:rPr>
            </w:pPr>
          </w:p>
          <w:p w14:paraId="016721A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105 тис.грн.</w:t>
            </w:r>
          </w:p>
          <w:p w14:paraId="2EAFC73C">
            <w:pPr>
              <w:spacing w:beforeLines="0" w:afterLines="0"/>
              <w:rPr>
                <w:rFonts w:hint="default" w:ascii="Times New Roman CYR" w:hAnsi="Times New Roman CYR" w:eastAsia="Times New Roman CYR"/>
                <w:sz w:val="22"/>
                <w:szCs w:val="24"/>
              </w:rPr>
            </w:pPr>
          </w:p>
          <w:p w14:paraId="27F1391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Вибуло за рiк основних засобiв за залишковою вартiстю на суму 1360 тис.грн., а саме: </w:t>
            </w:r>
          </w:p>
          <w:p w14:paraId="6B57C824">
            <w:pPr>
              <w:spacing w:beforeLines="0" w:afterLines="0"/>
              <w:rPr>
                <w:rFonts w:hint="default" w:ascii="Times New Roman CYR" w:hAnsi="Times New Roman CYR" w:eastAsia="Times New Roman CYR"/>
                <w:sz w:val="22"/>
                <w:szCs w:val="24"/>
              </w:rPr>
            </w:pPr>
          </w:p>
          <w:p w14:paraId="33FA6C2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1342 тис.грн.,</w:t>
            </w:r>
          </w:p>
          <w:p w14:paraId="4518428A">
            <w:pPr>
              <w:spacing w:beforeLines="0" w:afterLines="0"/>
              <w:rPr>
                <w:rFonts w:hint="default" w:ascii="Times New Roman CYR" w:hAnsi="Times New Roman CYR" w:eastAsia="Times New Roman CYR"/>
                <w:sz w:val="22"/>
                <w:szCs w:val="24"/>
              </w:rPr>
            </w:pPr>
          </w:p>
          <w:p w14:paraId="07FB39A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2 тис.грн.,</w:t>
            </w:r>
          </w:p>
          <w:p w14:paraId="5BC8FB38">
            <w:pPr>
              <w:spacing w:beforeLines="0" w:afterLines="0"/>
              <w:rPr>
                <w:rFonts w:hint="default" w:ascii="Times New Roman CYR" w:hAnsi="Times New Roman CYR" w:eastAsia="Times New Roman CYR"/>
                <w:sz w:val="22"/>
                <w:szCs w:val="24"/>
              </w:rPr>
            </w:pPr>
          </w:p>
          <w:p w14:paraId="5865660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16 тис.грн.</w:t>
            </w:r>
          </w:p>
          <w:p w14:paraId="389D3028">
            <w:pPr>
              <w:spacing w:beforeLines="0" w:afterLines="0"/>
              <w:rPr>
                <w:rFonts w:hint="default" w:ascii="Times New Roman CYR" w:hAnsi="Times New Roman CYR" w:eastAsia="Times New Roman CYR"/>
                <w:sz w:val="22"/>
                <w:szCs w:val="24"/>
              </w:rPr>
            </w:pPr>
          </w:p>
          <w:p w14:paraId="0FCA67D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Обмежень на використання майна немає.</w:t>
            </w:r>
          </w:p>
        </w:tc>
      </w:tr>
    </w:tbl>
    <w:p w14:paraId="0473075B">
      <w:pPr>
        <w:spacing w:beforeLines="0" w:afterLines="0"/>
        <w:jc w:val="left"/>
        <w:rPr>
          <w:rFonts w:hint="default" w:ascii="Times New Roman CYR" w:hAnsi="Times New Roman CYR" w:eastAsia="Times New Roman CYR"/>
          <w:sz w:val="22"/>
          <w:szCs w:val="24"/>
        </w:rPr>
      </w:pPr>
    </w:p>
    <w:p w14:paraId="46D5F49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2CED23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37687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BC96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20BE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2A5FC8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0F1C93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918C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55 942</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5FDE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55 945</w:t>
            </w:r>
          </w:p>
        </w:tc>
      </w:tr>
      <w:tr w14:paraId="7E2FD9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9FA2EC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71B5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CBF5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2FD9AF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2C7DBE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C5D9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E3B3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7C12C4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F0782D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AB2B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55 942</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2EAA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55 945</w:t>
            </w:r>
          </w:p>
        </w:tc>
      </w:tr>
      <w:tr w14:paraId="38A7D8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9DD1B1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D9C4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99,99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F6E8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100,23</w:t>
            </w:r>
          </w:p>
        </w:tc>
      </w:tr>
      <w:tr w14:paraId="7D3834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3043D41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23C2609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Для розрахунку вартостi чистих активiв Товариства використано Методичнi рекомендацiй              щодо визначення вартостi чистих активiв акцiонерних товариств, затвердженi рiшенням ДКЦПФР вiд 17.11.2004 р. № 485.  </w:t>
            </w:r>
          </w:p>
          <w:p w14:paraId="2E1DF9F3">
            <w:pPr>
              <w:spacing w:beforeLines="0" w:afterLines="0"/>
              <w:rPr>
                <w:rFonts w:hint="default" w:ascii="Times New Roman CYR" w:hAnsi="Times New Roman CYR" w:eastAsia="Times New Roman CYR"/>
                <w:sz w:val="22"/>
                <w:szCs w:val="24"/>
              </w:rPr>
            </w:pPr>
          </w:p>
          <w:p w14:paraId="5A8D537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Рiзниця мiж розрахунковою вартiстю чистих активiв i статутним капiталом на кiнець звiтного перiоду становить 55842 тис.грн.  Рiзниця мiж розрахунковою вартiстю чистих активiв i статутним капiталом на кiнець попереднього перiоду становить 55845 тис.грн. </w:t>
            </w:r>
          </w:p>
          <w:p w14:paraId="4AADD84D">
            <w:pPr>
              <w:spacing w:beforeLines="0" w:afterLines="0"/>
              <w:rPr>
                <w:rFonts w:hint="default" w:ascii="Times New Roman CYR" w:hAnsi="Times New Roman CYR" w:eastAsia="Times New Roman CYR"/>
                <w:sz w:val="22"/>
                <w:szCs w:val="24"/>
              </w:rPr>
            </w:pPr>
          </w:p>
          <w:p w14:paraId="7E0B794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Вартiсть чистих активiв Товариства бiльша вiд статутного капiталу. Вимоги законодавства дотримуються.</w:t>
            </w:r>
          </w:p>
        </w:tc>
      </w:tr>
    </w:tbl>
    <w:p w14:paraId="0ECBB536">
      <w:pPr>
        <w:spacing w:beforeLines="0" w:afterLines="0"/>
        <w:jc w:val="left"/>
        <w:rPr>
          <w:rFonts w:hint="default" w:ascii="Times New Roman CYR" w:hAnsi="Times New Roman CYR" w:eastAsia="Times New Roman CYR"/>
          <w:sz w:val="22"/>
          <w:szCs w:val="24"/>
        </w:rPr>
      </w:pPr>
    </w:p>
    <w:p w14:paraId="5118260D">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3D8A19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9232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265F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511C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E414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DE7B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1DC70D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AFB8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4F45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FA6A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D668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788E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BCFCF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FCA8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7697B64">
            <w:pPr>
              <w:spacing w:beforeLines="0" w:afterLines="0"/>
              <w:jc w:val="center"/>
              <w:rPr>
                <w:rFonts w:hint="default" w:ascii="Times New Roman CYR" w:hAnsi="Times New Roman CYR" w:eastAsia="Times New Roman CYR"/>
                <w:sz w:val="22"/>
                <w:szCs w:val="24"/>
              </w:rPr>
            </w:pPr>
          </w:p>
        </w:tc>
      </w:tr>
      <w:tr w14:paraId="6911C2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4E3C3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73E9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4E95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52D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22F9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EDD6F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435A2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6951C73">
            <w:pPr>
              <w:spacing w:beforeLines="0" w:afterLines="0"/>
              <w:jc w:val="left"/>
              <w:rPr>
                <w:rFonts w:hint="default" w:ascii="Times New Roman CYR" w:hAnsi="Times New Roman CYR" w:eastAsia="Times New Roman CYR"/>
                <w:sz w:val="22"/>
                <w:szCs w:val="24"/>
              </w:rPr>
            </w:pPr>
          </w:p>
        </w:tc>
      </w:tr>
      <w:tr w14:paraId="52F3B8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C4135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0B1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7888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8671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E4BC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67899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D4A7C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D3F4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5D70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A34C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87C4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7FCD5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9D6A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C7DA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7D77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44F3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5A39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A88B6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748E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E88A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A81F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99BF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2D7E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E3CB8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883BA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AF71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1B04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E779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605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4DFBA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4A5F4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5A75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1814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5DCA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6755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5F757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3FD0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3928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2BA7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334</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7B3F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7F31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EEB7C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DB05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0700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A7C4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11FB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FA9C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C00F1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2AC76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58EE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4CC7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9 134</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C4E1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070E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0CD79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81213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2D99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0F5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9 468</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0219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D790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0E23672F">
      <w:pPr>
        <w:spacing w:beforeLines="0" w:afterLines="0"/>
        <w:jc w:val="left"/>
        <w:rPr>
          <w:rFonts w:hint="default" w:ascii="Times New Roman CYR" w:hAnsi="Times New Roman CYR" w:eastAsia="Times New Roman CYR"/>
          <w:sz w:val="22"/>
          <w:szCs w:val="24"/>
        </w:rPr>
      </w:pPr>
    </w:p>
    <w:p w14:paraId="0B04173C">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2BF729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CE5A7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D5C6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5BEC84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E7447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371168">
            <w:pPr>
              <w:spacing w:beforeLines="0" w:afterLines="0"/>
              <w:jc w:val="center"/>
              <w:rPr>
                <w:rFonts w:hint="default" w:ascii="Times New Roman CYR" w:hAnsi="Times New Roman CYR" w:eastAsia="Times New Roman CYR"/>
                <w:sz w:val="22"/>
                <w:szCs w:val="24"/>
              </w:rPr>
            </w:pPr>
          </w:p>
        </w:tc>
      </w:tr>
      <w:tr w14:paraId="334DB6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B4898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806994">
            <w:pPr>
              <w:spacing w:beforeLines="0" w:afterLines="0"/>
              <w:jc w:val="center"/>
              <w:rPr>
                <w:rFonts w:hint="default" w:ascii="Times New Roman CYR" w:hAnsi="Times New Roman CYR" w:eastAsia="Times New Roman CYR"/>
                <w:sz w:val="22"/>
                <w:szCs w:val="24"/>
              </w:rPr>
            </w:pPr>
          </w:p>
        </w:tc>
      </w:tr>
      <w:tr w14:paraId="5F070D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87CF9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1E68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21699E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95F41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6CDE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7CF4E6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507E2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C0A2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7FB871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9B1A3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5605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3A8ACB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0161D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FAD2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225F14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6137D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0709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01.10.2013</w:t>
            </w:r>
          </w:p>
        </w:tc>
      </w:tr>
      <w:tr w14:paraId="7E7C7E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CD5B2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8681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41963A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3475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4C9E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78DCC4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5BC770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6EFEBF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EB992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08EB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4054E4E2">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21183E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46158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E7C7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706497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7B954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0EE7FB">
            <w:pPr>
              <w:spacing w:beforeLines="0" w:afterLines="0"/>
              <w:jc w:val="center"/>
              <w:rPr>
                <w:rFonts w:hint="default" w:ascii="Times New Roman CYR" w:hAnsi="Times New Roman CYR" w:eastAsia="Times New Roman CYR"/>
                <w:sz w:val="22"/>
                <w:szCs w:val="24"/>
              </w:rPr>
            </w:pPr>
          </w:p>
        </w:tc>
      </w:tr>
      <w:tr w14:paraId="765188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1B645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7BA5DF">
            <w:pPr>
              <w:spacing w:beforeLines="0" w:afterLines="0"/>
              <w:jc w:val="center"/>
              <w:rPr>
                <w:rFonts w:hint="default" w:ascii="Times New Roman CYR" w:hAnsi="Times New Roman CYR" w:eastAsia="Times New Roman CYR"/>
                <w:sz w:val="22"/>
                <w:szCs w:val="24"/>
              </w:rPr>
            </w:pPr>
          </w:p>
        </w:tc>
      </w:tr>
      <w:tr w14:paraId="483204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E55654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0D86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17E897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C2E25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86D8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23BC64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F3971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D84C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3BD9E9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C027D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CCB4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65A571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4DFB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6837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5779A3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E5270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199F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18.02.2019</w:t>
            </w:r>
          </w:p>
        </w:tc>
      </w:tr>
      <w:tr w14:paraId="6DC4F9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09924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F1D7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7213A2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4A6BC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6478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2F250C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26A50E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2D65C5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FA787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9536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5E97C50E">
      <w:pPr>
        <w:spacing w:beforeLines="0" w:afterLines="0"/>
        <w:jc w:val="left"/>
        <w:rPr>
          <w:rFonts w:hint="default" w:ascii="Times New Roman CYR" w:hAnsi="Times New Roman CYR" w:eastAsia="Times New Roman CYR"/>
          <w:sz w:val="22"/>
          <w:szCs w:val="24"/>
        </w:rPr>
      </w:pPr>
    </w:p>
    <w:p w14:paraId="1AE9ACBB">
      <w:pPr>
        <w:spacing w:beforeLines="0" w:afterLines="0"/>
        <w:jc w:val="left"/>
        <w:rPr>
          <w:rFonts w:hint="default" w:ascii="Times New Roman CYR" w:hAnsi="Times New Roman CYR" w:eastAsia="Times New Roman CYR"/>
          <w:sz w:val="22"/>
          <w:szCs w:val="24"/>
        </w:rPr>
      </w:pPr>
    </w:p>
    <w:p w14:paraId="35DBBE0B">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550B83E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0D7ABFC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0D8FAA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3FB3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EF0B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2703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9C13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9EE2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2B2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5E55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F616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57A5DE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1C55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9A84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D9C6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D699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1094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0587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FD7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CFF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06092C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E622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9F3B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простi iменнi</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570B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№645/10/1/10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1164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2 000</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6A3B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50,00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7DDF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FD5C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272C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396BB67F">
      <w:pPr>
        <w:spacing w:beforeLines="0" w:afterLines="0"/>
        <w:jc w:val="left"/>
        <w:rPr>
          <w:rFonts w:hint="default" w:ascii="Times New Roman CYR" w:hAnsi="Times New Roman CYR" w:eastAsia="Times New Roman CYR"/>
          <w:sz w:val="22"/>
          <w:szCs w:val="24"/>
        </w:rPr>
      </w:pPr>
    </w:p>
    <w:p w14:paraId="7D48678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29DB1FE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7D74D5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8907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1A3D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0DCE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92BA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39F4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00C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E48E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29C5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76E8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5C2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3E8300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5476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DB4F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6A41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C723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2B28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5E70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7118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A8E4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8D88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E631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7C1F2F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54372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15.11.2010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73FAA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№645/10/1/10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121E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ДКЦПФР( Київське тер. Управлiння)</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1662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UA4000105613</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E748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77B6E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4653C2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7DBB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2 000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7598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100 000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74CF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12629A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2F489E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4CF8AF6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295658FC">
      <w:pPr>
        <w:spacing w:beforeLines="0" w:afterLines="0"/>
        <w:jc w:val="left"/>
        <w:rPr>
          <w:rFonts w:hint="default" w:ascii="Times New Roman CYR" w:hAnsi="Times New Roman CYR" w:eastAsia="Times New Roman CYR"/>
          <w:sz w:val="22"/>
          <w:szCs w:val="24"/>
        </w:rPr>
      </w:pPr>
    </w:p>
    <w:p w14:paraId="385A91D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2986B8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89AE6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AB6AA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341FD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A924C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13E01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25C3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7AC85D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8E892A5">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24C0AD8">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30F465D">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9F2D75A">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E9F7938">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DBE5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520B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17DA56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57C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5C58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CAC1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DE9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D63D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AF15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6E2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18A138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E14E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Ремез Галина Iванiвна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C066FF">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2AFC9D">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EE71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A1E2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7708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3D49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0AD9D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8B64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843B7B">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8AF441">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2D05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1 655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8204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82,75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17C4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1 655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6712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B6C2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A1E2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Кравець Валентин Iванович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318EC0">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408BA9">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F692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85FD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68A1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3EE7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6128B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8D50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Макаренко Галина Венаминiвна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264A77">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C977B7">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C17F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369D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CF5C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D466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BF383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812F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Панченко Володимир Григорович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177C7E">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13FF2B">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3466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3264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82F6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4F9C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66469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B4E5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9A0D88">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11564A">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D263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1 700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4CB1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6CC6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1 700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56D5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447CAF36">
      <w:pPr>
        <w:spacing w:beforeLines="0" w:afterLines="0"/>
        <w:jc w:val="left"/>
        <w:rPr>
          <w:rFonts w:hint="default" w:ascii="Times New Roman CYR" w:hAnsi="Times New Roman CYR" w:eastAsia="Times New Roman CYR"/>
          <w:sz w:val="22"/>
          <w:szCs w:val="24"/>
        </w:rPr>
      </w:pPr>
    </w:p>
    <w:p w14:paraId="14C95CB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73605D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DD29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817D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F805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D2D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D9EC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90F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8050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37E5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124D0A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89B5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90CA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C69D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ADC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ADD4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605E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F173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6C0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787DE0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66A5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15.11.2010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D677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645/10/1/10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3857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UA4000105613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1128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2 000</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5E49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100 000</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F722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1 940</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2EA5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2FBC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14814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F2F18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2B38E34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Характеристика обмеження: Кiлькiсть голосуючих акцiй, права голосу за якими обмежено,  - 0.</w:t>
            </w:r>
          </w:p>
          <w:p w14:paraId="56B205E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7D1D10AA">
      <w:pPr>
        <w:spacing w:beforeLines="0" w:afterLines="0"/>
        <w:jc w:val="left"/>
        <w:rPr>
          <w:rFonts w:hint="default" w:ascii="Times New Roman CYR" w:hAnsi="Times New Roman CYR" w:eastAsia="Times New Roman CYR"/>
          <w:sz w:val="22"/>
          <w:szCs w:val="24"/>
        </w:rPr>
      </w:pPr>
    </w:p>
    <w:p w14:paraId="373FE407">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4B248AD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III. Фінансова інформація</w:t>
      </w:r>
    </w:p>
    <w:p w14:paraId="10C9A66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Інформація про розмір доходу за видами діяльності особи</w:t>
      </w:r>
    </w:p>
    <w:tbl>
      <w:tblPr>
        <w:tblStyle w:val="3"/>
        <w:tblW w:w="0" w:type="auto"/>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20"/>
        <w:gridCol w:w="2900"/>
        <w:gridCol w:w="2900"/>
      </w:tblGrid>
      <w:tr w14:paraId="746EDA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BAA4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діяльності особи із зазначенням найменування та коду за КВЕД</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0888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доходу особи від реалізації продукції (товарів, робіт, послуг), тис.грн</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FF4E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Відсоткове вираження по відношенню від сукупного доходу особи за результатами звітного року</w:t>
            </w:r>
          </w:p>
        </w:tc>
      </w:tr>
      <w:tr w14:paraId="404BF1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A868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BBB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85C4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r>
      <w:tr w14:paraId="4603C1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30ADA1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43.22 - Монтаж водопровiдних мереж,систем опалення та кондицiонування</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DFB1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41163</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CFB5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84,9</w:t>
            </w:r>
          </w:p>
        </w:tc>
      </w:tr>
      <w:tr w14:paraId="307E4E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0C8107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46.14 - Дiяльнiсть посередникiв у торгiвлi машинами, промисловим устаткуванням, суднами i лiтаками</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6494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1286</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BC19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w:t>
            </w:r>
          </w:p>
        </w:tc>
      </w:tr>
      <w:tr w14:paraId="006269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42318F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68.10 - Купiвля i продаж власного нерухомого майна</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A0E1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3591</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4398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7,4</w:t>
            </w:r>
          </w:p>
        </w:tc>
      </w:tr>
      <w:tr w14:paraId="264863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374D7F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68.20 - Надання в оренду й експлуатацiю власного чи орендованого нерухомого майна</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BB0B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2455</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283A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w:t>
            </w:r>
          </w:p>
        </w:tc>
      </w:tr>
    </w:tbl>
    <w:p w14:paraId="067FFD5E">
      <w:pPr>
        <w:spacing w:beforeLines="0" w:afterLines="0"/>
        <w:jc w:val="left"/>
        <w:rPr>
          <w:rFonts w:hint="default" w:ascii="Times New Roman CYR" w:hAnsi="Times New Roman CYR" w:eastAsia="Times New Roman CYR"/>
          <w:sz w:val="22"/>
          <w:szCs w:val="24"/>
        </w:rPr>
      </w:pPr>
    </w:p>
    <w:p w14:paraId="4ABFC557">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2B279E6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Фiнансова звiтнiсть Товариства є фiнансовою звiтнiстю загального призначення, яка сформована з метою достовiрно подання фiнансового стану, фiнансових результатiв дiяльностi та грошових потокiв Товариства для задоволення iнформацiйних потреб широкого кола користувачiв при прийняттi ними економiчних рiшень. Концептуальною основою фiнансової звiтностi Товариства за рiк, що закiнчився 31 грудня 2025 року, є Нацiональнi положення (стандарти) бухгалтерського облiку (НП(С)БО). Пiдготовлена Товариством фiнансова звiтнiсть чiтко та без будь-яких застережень вiдповiдає всiм вимогам чинних НП(С)БО з врахуванням змiн, дотримання яких забезпечує достовiрне подання iнформацiї в фiнансовiй звiтностi, а саме, доречної, достовiрної, зiставної та зрозумiлої iнформацiї. Фiнансова звiтнiсть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w:t>
      </w:r>
    </w:p>
    <w:p w14:paraId="3F340E47">
      <w:pPr>
        <w:spacing w:beforeLines="0" w:afterLines="0"/>
        <w:jc w:val="left"/>
        <w:rPr>
          <w:rFonts w:hint="default" w:ascii="Times New Roman CYR" w:hAnsi="Times New Roman CYR" w:eastAsia="Times New Roman CYR"/>
          <w:sz w:val="24"/>
          <w:szCs w:val="24"/>
        </w:rPr>
      </w:pPr>
    </w:p>
    <w:p w14:paraId="73076B9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0C8FABA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2E7A52F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3206264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Звернення до акцiонерiв та iнших стейкхолдерiв вiд голови ради не було.</w:t>
      </w:r>
    </w:p>
    <w:p w14:paraId="48A9B3D8">
      <w:pPr>
        <w:spacing w:beforeLines="0" w:afterLines="0"/>
        <w:rPr>
          <w:rFonts w:hint="default" w:ascii="Times New Roman CYR" w:hAnsi="Times New Roman CYR" w:eastAsia="Times New Roman CYR"/>
          <w:sz w:val="24"/>
          <w:szCs w:val="24"/>
        </w:rPr>
      </w:pPr>
    </w:p>
    <w:p w14:paraId="1F7D7C9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5D64B02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 та iнших стейкхолдерiв вiд керiвника не було.</w:t>
      </w:r>
    </w:p>
    <w:p w14:paraId="3B62579E">
      <w:pPr>
        <w:spacing w:beforeLines="0" w:afterLines="0"/>
        <w:rPr>
          <w:rFonts w:hint="default" w:ascii="Times New Roman CYR" w:hAnsi="Times New Roman CYR" w:eastAsia="Times New Roman CYR"/>
          <w:sz w:val="24"/>
          <w:szCs w:val="24"/>
        </w:rPr>
      </w:pPr>
    </w:p>
    <w:p w14:paraId="3046BD6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1960B77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Починаючи з лютого 2022 р. виробництво знаходиться в умовах безпрецендентних викликiв. Багато пiдприємств призупинили свою роботу.</w:t>
      </w:r>
    </w:p>
    <w:p w14:paraId="01C6C7D8">
      <w:pPr>
        <w:spacing w:beforeLines="0" w:afterLines="0"/>
        <w:rPr>
          <w:rFonts w:hint="default" w:ascii="Times New Roman CYR" w:hAnsi="Times New Roman CYR" w:eastAsia="Times New Roman CYR"/>
          <w:sz w:val="24"/>
          <w:szCs w:val="24"/>
        </w:rPr>
      </w:pPr>
    </w:p>
    <w:p w14:paraId="7F87A47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Крiм того, для аналiзу та прогнозування розвитку виробництва є складнiсть оцiнки поточної ситуацiї. Будiвництво прямо та опосередковано залежатиме вiд перебiгу вiйни.  Тому у своїх планах ми обмежуємся описом основних показникiв, очiкуваних у 2026 р., якi можуть бути визначенi, уточненi та переглянутi протягом звiтного року та затвердженi Наглядовою радою Товариства. </w:t>
      </w:r>
    </w:p>
    <w:p w14:paraId="0BCB4C3C">
      <w:pPr>
        <w:spacing w:beforeLines="0" w:afterLines="0"/>
        <w:rPr>
          <w:rFonts w:hint="default" w:ascii="Times New Roman CYR" w:hAnsi="Times New Roman CYR" w:eastAsia="Times New Roman CYR"/>
          <w:sz w:val="24"/>
          <w:szCs w:val="24"/>
        </w:rPr>
      </w:pPr>
    </w:p>
    <w:p w14:paraId="5D53706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3253758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Деривативнi контракти не укладалися. Правочинiв щодо деривативних цiннних паперiв не було.</w:t>
      </w:r>
    </w:p>
    <w:p w14:paraId="55915DF1">
      <w:pPr>
        <w:spacing w:beforeLines="0" w:afterLines="0"/>
        <w:rPr>
          <w:rFonts w:hint="default" w:ascii="Times New Roman CYR" w:hAnsi="Times New Roman CYR" w:eastAsia="Times New Roman CYR"/>
          <w:sz w:val="24"/>
          <w:szCs w:val="24"/>
        </w:rPr>
      </w:pPr>
    </w:p>
    <w:p w14:paraId="77EEB7E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1C59209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процесi господарської дiяльностi Товариство зазнає впливу фiнансових ризикiв, зокрема цiнового, кредитного ризику та ризику лiквiдностi грошових потокiв. Полiтика управлiння ризиками спрямована на їх своєчасне виявлення, оцiнку та мiнiмiзацiю можливого негативного впливу на фiнансовий стан пiдприємства.</w:t>
      </w:r>
    </w:p>
    <w:p w14:paraId="4A27A7C7">
      <w:pPr>
        <w:spacing w:beforeLines="0" w:afterLines="0"/>
        <w:rPr>
          <w:rFonts w:hint="default" w:ascii="Times New Roman CYR" w:hAnsi="Times New Roman CYR" w:eastAsia="Times New Roman CYR"/>
          <w:sz w:val="24"/>
          <w:szCs w:val="24"/>
        </w:rPr>
      </w:pPr>
    </w:p>
    <w:p w14:paraId="2F40737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6CA8B42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Цiновий ризик пов'язаний зi змiнами ринкових цiн на матерiали. Товариство здiйснює монiторинг ринкової ситуацiї та, за можливостi, враховує вiдповiднi змiни при формуваннi договiрних умов. Схильнiсть до цiнового ризику оцiнюється як помiрна.</w:t>
      </w:r>
    </w:p>
    <w:p w14:paraId="690F492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Кредитний ризик виникає у зв'язку з iмовiрнiстю невиконання контрагентами своїх зобов'язань. З метою його зниження здiйснюється контроль за станом дебiторської заборгованостi та оцiнка платоспроможностi контрагентiв. Схильнiсть до кредитного ризику є контрольованою.</w:t>
      </w:r>
    </w:p>
    <w:p w14:paraId="6FEDA9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Ризик лiквiдностi грошових потокiв пов'язаний iз можливiстю недостатностi коштiв для своєчасного виконання зобов'язань. Управлiння ризиком здiйснюється шляхом планування грошових потокiв. Схильнiсть до ризику лiквiдностi оцiнюється як помiрна.</w:t>
      </w:r>
    </w:p>
    <w:p w14:paraId="7887B928">
      <w:pPr>
        <w:spacing w:beforeLines="0" w:afterLines="0"/>
        <w:rPr>
          <w:rFonts w:hint="default" w:ascii="Times New Roman CYR" w:hAnsi="Times New Roman CYR" w:eastAsia="Times New Roman CYR"/>
          <w:sz w:val="24"/>
          <w:szCs w:val="24"/>
        </w:rPr>
      </w:pPr>
    </w:p>
    <w:p w14:paraId="06FA4659">
      <w:pPr>
        <w:spacing w:beforeLines="0" w:afterLines="0"/>
        <w:jc w:val="left"/>
        <w:rPr>
          <w:rFonts w:hint="default" w:ascii="Times New Roman CYR" w:hAnsi="Times New Roman CYR" w:eastAsia="Times New Roman CYR"/>
          <w:sz w:val="24"/>
          <w:szCs w:val="24"/>
        </w:rPr>
      </w:pPr>
    </w:p>
    <w:p w14:paraId="19AEDAA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2. Інформація про загальні збори акціонерів (учасників) та загальний опис прийнятих на таких зборах рішень: 1 (1)</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7000"/>
      </w:tblGrid>
      <w:tr w14:paraId="6F689C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48F46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Дата проведення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8ACAD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25.04.2025</w:t>
            </w:r>
          </w:p>
        </w:tc>
      </w:tr>
      <w:tr w14:paraId="3DA4A2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890BC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Спосіб проведення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484B5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очне голосування</w:t>
            </w:r>
          </w:p>
          <w:p w14:paraId="3940E74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електронне голосування</w:t>
            </w:r>
          </w:p>
          <w:p w14:paraId="1E5FCF2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X</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опитування (дистанційно)</w:t>
            </w:r>
          </w:p>
        </w:tc>
      </w:tr>
      <w:tr w14:paraId="1C6736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12FD0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Суб'єкт скликання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E0208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Наглядова рада</w:t>
            </w:r>
          </w:p>
        </w:tc>
      </w:tr>
      <w:tr w14:paraId="353A89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5E4AD7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Питання порядку денного та прийняті рішення:</w:t>
            </w:r>
          </w:p>
        </w:tc>
      </w:tr>
      <w:tr w14:paraId="615C93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4F30BC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ПОРЯДОК ДЕННИЙ ЗАГАЛЬНИХ ЗБОРIВ:</w:t>
            </w:r>
          </w:p>
          <w:p w14:paraId="5B58D36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Звiт Наглядової ради Товариства за 2024 рiк та прийняття рiшення за результатами такого звiту.</w:t>
            </w:r>
          </w:p>
          <w:p w14:paraId="7144CDA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Затвердження результатiв фiнансово-господарської дiяльностi Товариства за 2024 рiк.</w:t>
            </w:r>
          </w:p>
          <w:p w14:paraId="61970D9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Затвердження розподiлу прибутку Товариства за 2024 рiк.</w:t>
            </w:r>
          </w:p>
          <w:p w14:paraId="4012D1D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Прийняття рiшення про припинення повноважень Голови i членiв Наглядової ради Товариства.</w:t>
            </w:r>
          </w:p>
          <w:p w14:paraId="3127DC1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Обрання членiв Наглядової ради Товариства.</w:t>
            </w:r>
          </w:p>
          <w:p w14:paraId="06D11EF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Обрання Голови Наглядової ради Товариства.</w:t>
            </w:r>
          </w:p>
          <w:p w14:paraId="4D322D3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Затвердження умов цивiльно-правових та трудових договорiв (контрактiв), що укладатимуться з членами Наглядової ради, Головою Наглядової ради  Товариства. Встановлення розмiру винагороди Голови та членiв Наглядової Ради. Обрання особи, яка уповноважується на пiдписання цивiльно-правових  та трудових договорiв (контрактiв) з Головою Наглядової ради, членами Наглядової Ради  Товариства.</w:t>
            </w:r>
          </w:p>
          <w:p w14:paraId="1F92BE46">
            <w:pPr>
              <w:spacing w:beforeLines="0" w:afterLines="0"/>
              <w:jc w:val="left"/>
              <w:rPr>
                <w:rFonts w:hint="default" w:ascii="Times New Roman CYR" w:hAnsi="Times New Roman CYR" w:eastAsia="Times New Roman CYR"/>
                <w:sz w:val="24"/>
                <w:szCs w:val="24"/>
              </w:rPr>
            </w:pPr>
          </w:p>
          <w:p w14:paraId="75A23F2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Прийнятi рiшення:</w:t>
            </w:r>
          </w:p>
          <w:p w14:paraId="31EAD5E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Затвердити звiт Наглядової ради Товариства за 2024 рiк.</w:t>
            </w:r>
          </w:p>
          <w:p w14:paraId="21EC8F1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Затвердити результати фiнансово-господарської дiяльностi Товариства за 2024 рiк.</w:t>
            </w:r>
          </w:p>
          <w:p w14:paraId="52A79B7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Прибуток, отриманий Товариством в 2024 роцi у розмiрi  219 тис. грн. залишити нерозподiленим.</w:t>
            </w:r>
          </w:p>
          <w:p w14:paraId="68E7656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Припинити повноваження дiючгого складу Наглядової ради ПрАТ "Київспецмонтаж у складi:</w:t>
            </w:r>
          </w:p>
          <w:p w14:paraId="3F0529F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Голова Наглядової ради, Член Наглядової ради  - Дзерик Володимир Iванович;</w:t>
            </w:r>
          </w:p>
          <w:p w14:paraId="626F335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Член Наглядової ради - Кузнєцова Мирослава Олегiвна;</w:t>
            </w:r>
          </w:p>
          <w:p w14:paraId="1A5C6AF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Член Наглядової ради -  Макаренко Галина Венаминiвна.</w:t>
            </w:r>
          </w:p>
          <w:p w14:paraId="3B3DB41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5. До складу наглядової ради обранi </w:t>
            </w:r>
          </w:p>
          <w:p w14:paraId="5BFFFF3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Дзерик Володимир Iванович, акцiонер.</w:t>
            </w:r>
          </w:p>
          <w:p w14:paraId="4DD7B8F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Макаренко Галина Венаминiвна, акцiонер.</w:t>
            </w:r>
          </w:p>
          <w:p w14:paraId="2CF4836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Кузнєцова Мирослава Олегiвна, представник акцiонера - Дзерика Володимира Iвановича. </w:t>
            </w:r>
          </w:p>
          <w:p w14:paraId="329D932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Обрати Головою Наглядової ради Дзерика Володимира Iвановича.</w:t>
            </w:r>
          </w:p>
          <w:p w14:paraId="51119A7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7. Затвердити умови цивiльно-правових та трудових договорiв (контрактiв), що укладатимуться з Головою Наглядової ради, членами Наглядової ради  Товариства. Встановити, що  члени Наглядової ради    Товариства здiйснюють свої повноваження на безоплатнiй основi. Головi Наглядової ради щомiсячно виплачується заробiтна плата, вiдповiдно до умов трудового договору (контракту). </w:t>
            </w:r>
          </w:p>
          <w:p w14:paraId="492E472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Уповноважити Директора Товариства Грозного Юрiя Володимировича на пiдписання цивiльно-правових та трудових договорiв (контрактiв) з Головою Наглядової ради та членами Наглядової ради  Товариства.</w:t>
            </w:r>
          </w:p>
        </w:tc>
      </w:tr>
      <w:tr w14:paraId="34A26C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CC751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URL-адреса протоколу загальних зборів:</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B8ED3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http://ksm.emitents.net.ua/ua/docs/?fg_id=102</w:t>
            </w:r>
          </w:p>
        </w:tc>
      </w:tr>
    </w:tbl>
    <w:p w14:paraId="00591DA1">
      <w:pPr>
        <w:spacing w:beforeLines="0" w:afterLines="0"/>
        <w:jc w:val="left"/>
        <w:rPr>
          <w:rFonts w:hint="default" w:ascii="Times New Roman CYR" w:hAnsi="Times New Roman CYR" w:eastAsia="Times New Roman CYR"/>
          <w:sz w:val="24"/>
          <w:szCs w:val="24"/>
        </w:rPr>
      </w:pPr>
    </w:p>
    <w:p w14:paraId="49E77308">
      <w:pPr>
        <w:spacing w:beforeLines="0" w:afterLines="0"/>
        <w:jc w:val="left"/>
        <w:rPr>
          <w:rFonts w:hint="default" w:ascii="Times New Roman CYR" w:hAnsi="Times New Roman CYR" w:eastAsia="Times New Roman CYR"/>
          <w:sz w:val="24"/>
          <w:szCs w:val="24"/>
        </w:rPr>
      </w:pPr>
    </w:p>
    <w:p w14:paraId="04F41F2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4. Рада</w:t>
      </w:r>
    </w:p>
    <w:p w14:paraId="4176B4F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Персональний склад ради та її комітетів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150"/>
        <w:gridCol w:w="1150"/>
        <w:gridCol w:w="1150"/>
        <w:gridCol w:w="1150"/>
        <w:gridCol w:w="1150"/>
        <w:gridCol w:w="1250"/>
      </w:tblGrid>
      <w:tr w14:paraId="025FC9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C1F8F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члена ради, строк повноважень у звітному періоді</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AE1A7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36A65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B854C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Голова/ заступник голови ради</w:t>
            </w:r>
          </w:p>
        </w:tc>
        <w:tc>
          <w:tcPr>
            <w:tcW w:w="35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ECD6C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Голова / член комітету ради</w:t>
            </w:r>
          </w:p>
        </w:tc>
      </w:tr>
      <w:tr w14:paraId="33FA33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6BF27C2">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A772F80">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772C968">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BCAA3E5">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5AF8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CDD7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- 2</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CCF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- 3</w:t>
            </w:r>
          </w:p>
        </w:tc>
      </w:tr>
      <w:tr w14:paraId="6DC43A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6526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  01.01.2025 - 31.12.2025</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727C77A">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955FA8D">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3BCF6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597D952">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2D0832F">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63A4AEB">
            <w:pPr>
              <w:spacing w:beforeLines="0" w:afterLines="0"/>
              <w:jc w:val="center"/>
              <w:rPr>
                <w:rFonts w:hint="default" w:ascii="Times New Roman CYR" w:hAnsi="Times New Roman CYR" w:eastAsia="Times New Roman CYR"/>
                <w:sz w:val="22"/>
                <w:szCs w:val="24"/>
              </w:rPr>
            </w:pPr>
          </w:p>
        </w:tc>
      </w:tr>
      <w:tr w14:paraId="5DD552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A1FC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Кузнєцова Мирослава Олегiвна,  01.01.2025- 31.12.2025</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D8FB663">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DB3D3B2">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16C295A">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ABE19F9">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4662CDA">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964B56E">
            <w:pPr>
              <w:spacing w:beforeLines="0" w:afterLines="0"/>
              <w:jc w:val="center"/>
              <w:rPr>
                <w:rFonts w:hint="default" w:ascii="Times New Roman CYR" w:hAnsi="Times New Roman CYR" w:eastAsia="Times New Roman CYR"/>
                <w:sz w:val="22"/>
                <w:szCs w:val="24"/>
              </w:rPr>
            </w:pPr>
          </w:p>
        </w:tc>
      </w:tr>
      <w:tr w14:paraId="4B5322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8BC2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Макаренко Галина Венаминiвна, 01.01.2025 - 31.12.2025</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64F0903">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A70E92F">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C06B335">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CA101E0">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95246D1">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A0456A0">
            <w:pPr>
              <w:spacing w:beforeLines="0" w:afterLines="0"/>
              <w:jc w:val="center"/>
              <w:rPr>
                <w:rFonts w:hint="default" w:ascii="Times New Roman CYR" w:hAnsi="Times New Roman CYR" w:eastAsia="Times New Roman CYR"/>
                <w:sz w:val="22"/>
                <w:szCs w:val="24"/>
              </w:rPr>
            </w:pPr>
          </w:p>
        </w:tc>
      </w:tr>
    </w:tbl>
    <w:p w14:paraId="6C2CE5A4">
      <w:pPr>
        <w:spacing w:beforeLines="0" w:afterLines="0"/>
        <w:jc w:val="left"/>
        <w:rPr>
          <w:rFonts w:hint="default" w:ascii="Times New Roman CYR" w:hAnsi="Times New Roman CYR" w:eastAsia="Times New Roman CYR"/>
          <w:sz w:val="22"/>
          <w:szCs w:val="24"/>
        </w:rPr>
      </w:pPr>
    </w:p>
    <w:p w14:paraId="7857D77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проведені засідання ради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000"/>
        <w:gridCol w:w="8000"/>
      </w:tblGrid>
      <w:tr w14:paraId="7911B2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94B82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Кількість засідань ради у звітному періоді:</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55A35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r>
      <w:tr w14:paraId="461C2B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1E598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 них очних:</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0DE6D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r>
      <w:tr w14:paraId="14EB8E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9493E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 них заочних:</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F06B6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52D849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2D756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ради:</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445DA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Вiдповiдно до чинної редакцiї Статуту Товариства, Наглядова рада Товариства є органом, що здiйснює контроль за дiяльнiстю одноосiбного виконавчого органу Товариства в iнтересах акцiонерiв у перiод мiж загальними зборами. У своїй дiяльностi Наглядова рада керується чинним законодавством, Статутом, Положенням "Про наглядову раду" та iншими внутрiшнiми положеннями Товариства. Наглядова рада пiдпорядкована зборам, рiшення яких є для неї обов'язковими. Питання, що належать до виключної компетенцiї Наглядової ради акцiонерного товариства, не можуть вирiшуватися iншими органами товариства, крiм загальних зборiв. Протягом 2025 року було проведено 18 засiдань Наглядової ради Товариства для прийняття рiшень виключно по питанням, якi вiдносяться до компетенцiї Наглядової ради ПрАТ  "Київспецмонтаж". Усi засiдання Наглядової ради Товариства проводились шляхом очного голосування. Усi засiдання Наглядової ради є правомочними. Дiяльнiсть Наглядової ради не зумовила змiн у фiнансово-господарськiй дiяльностi Товариства. На засiданнях Наглядової ради розглядалися фiнансово-економiчнi результати господарської дiяльностi Товариства, аналiзувалася робота Директора та дiльниць,  а також: </w:t>
            </w:r>
          </w:p>
          <w:p w14:paraId="70FC7184">
            <w:pPr>
              <w:spacing w:beforeLines="0" w:afterLines="0"/>
              <w:rPr>
                <w:rFonts w:hint="default" w:ascii="Times New Roman CYR" w:hAnsi="Times New Roman CYR" w:eastAsia="Times New Roman CYR"/>
                <w:sz w:val="22"/>
                <w:szCs w:val="24"/>
              </w:rPr>
            </w:pPr>
          </w:p>
          <w:p w14:paraId="38007A2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розглядались питання по забезпеченню дiльниць та ВКД обсягами робiт, затверджувалися помiсячнi план-графiки; </w:t>
            </w:r>
          </w:p>
          <w:p w14:paraId="66A987CD">
            <w:pPr>
              <w:spacing w:beforeLines="0" w:afterLines="0"/>
              <w:rPr>
                <w:rFonts w:hint="default" w:ascii="Times New Roman CYR" w:hAnsi="Times New Roman CYR" w:eastAsia="Times New Roman CYR"/>
                <w:sz w:val="22"/>
                <w:szCs w:val="24"/>
              </w:rPr>
            </w:pPr>
          </w:p>
          <w:p w14:paraId="5C31D29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розглядався аналiз роботи Товариства за вiдпрацьований вiдповiдний перiод та плани робiт на мiсяць;</w:t>
            </w:r>
          </w:p>
          <w:p w14:paraId="4057C61C">
            <w:pPr>
              <w:spacing w:beforeLines="0" w:afterLines="0"/>
              <w:rPr>
                <w:rFonts w:hint="default" w:ascii="Times New Roman CYR" w:hAnsi="Times New Roman CYR" w:eastAsia="Times New Roman CYR"/>
                <w:sz w:val="22"/>
                <w:szCs w:val="24"/>
              </w:rPr>
            </w:pPr>
          </w:p>
          <w:p w14:paraId="1E8FDF6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аналiз вiдрядної заробiтної плати по Товариству;</w:t>
            </w:r>
          </w:p>
          <w:p w14:paraId="2C58DA46">
            <w:pPr>
              <w:spacing w:beforeLines="0" w:afterLines="0"/>
              <w:rPr>
                <w:rFonts w:hint="default" w:ascii="Times New Roman CYR" w:hAnsi="Times New Roman CYR" w:eastAsia="Times New Roman CYR"/>
                <w:sz w:val="22"/>
                <w:szCs w:val="24"/>
              </w:rPr>
            </w:pPr>
          </w:p>
          <w:p w14:paraId="537B3A6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розглядалися питання щодо погашення заборгованостi за попереднi перiоди та придбання квартири; </w:t>
            </w:r>
          </w:p>
          <w:p w14:paraId="4F304179">
            <w:pPr>
              <w:spacing w:beforeLines="0" w:afterLines="0"/>
              <w:rPr>
                <w:rFonts w:hint="default" w:ascii="Times New Roman CYR" w:hAnsi="Times New Roman CYR" w:eastAsia="Times New Roman CYR"/>
                <w:sz w:val="22"/>
                <w:szCs w:val="24"/>
              </w:rPr>
            </w:pPr>
          </w:p>
          <w:p w14:paraId="075BD6F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забезпечення працiвникiв Товариства житлом;  вiдповiдно до умов Колективного договору;</w:t>
            </w:r>
          </w:p>
          <w:p w14:paraId="7B4E3E02">
            <w:pPr>
              <w:spacing w:beforeLines="0" w:afterLines="0"/>
              <w:rPr>
                <w:rFonts w:hint="default" w:ascii="Times New Roman CYR" w:hAnsi="Times New Roman CYR" w:eastAsia="Times New Roman CYR"/>
                <w:sz w:val="22"/>
                <w:szCs w:val="24"/>
              </w:rPr>
            </w:pPr>
          </w:p>
          <w:p w14:paraId="3C83141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для забезпечення готiвкових коштiв на розрахунковому рахунку Товариства, розглядалися питання     та приймалися рiшення щодо продажi, належних Товариству квартир;   </w:t>
            </w:r>
          </w:p>
          <w:p w14:paraId="063FE6C9">
            <w:pPr>
              <w:spacing w:beforeLines="0" w:afterLines="0"/>
              <w:rPr>
                <w:rFonts w:hint="default" w:ascii="Times New Roman CYR" w:hAnsi="Times New Roman CYR" w:eastAsia="Times New Roman CYR"/>
                <w:sz w:val="22"/>
                <w:szCs w:val="24"/>
              </w:rPr>
            </w:pPr>
          </w:p>
          <w:p w14:paraId="25EBC6A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аналiзувалася орендна плата за оренду нежитлових та житлових примiщень, якi є власнiстю Товариства та встановлення тарифiв на проживання;  </w:t>
            </w:r>
          </w:p>
          <w:p w14:paraId="7CCD92D8">
            <w:pPr>
              <w:spacing w:beforeLines="0" w:afterLines="0"/>
              <w:rPr>
                <w:rFonts w:hint="default" w:ascii="Times New Roman CYR" w:hAnsi="Times New Roman CYR" w:eastAsia="Times New Roman CYR"/>
                <w:sz w:val="22"/>
                <w:szCs w:val="24"/>
              </w:rPr>
            </w:pPr>
          </w:p>
          <w:p w14:paraId="0AED2AD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розглядався стан розрахункiв за виконанi роботи; </w:t>
            </w:r>
          </w:p>
          <w:p w14:paraId="089190EB">
            <w:pPr>
              <w:spacing w:beforeLines="0" w:afterLines="0"/>
              <w:rPr>
                <w:rFonts w:hint="default" w:ascii="Times New Roman CYR" w:hAnsi="Times New Roman CYR" w:eastAsia="Times New Roman CYR"/>
                <w:sz w:val="22"/>
                <w:szCs w:val="24"/>
              </w:rPr>
            </w:pPr>
          </w:p>
          <w:p w14:paraId="1C0FFAC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стан трудової та виконавчої дисциплiни;</w:t>
            </w:r>
          </w:p>
          <w:p w14:paraId="2D0962A3">
            <w:pPr>
              <w:spacing w:beforeLines="0" w:afterLines="0"/>
              <w:rPr>
                <w:rFonts w:hint="default" w:ascii="Times New Roman CYR" w:hAnsi="Times New Roman CYR" w:eastAsia="Times New Roman CYR"/>
                <w:sz w:val="22"/>
                <w:szCs w:val="24"/>
              </w:rPr>
            </w:pPr>
          </w:p>
          <w:p w14:paraId="5629D01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розглядався аналiз фiнансових результатiв роботи Товариства та собiвартiсть БМР ;</w:t>
            </w:r>
          </w:p>
          <w:p w14:paraId="39E4B9AC">
            <w:pPr>
              <w:spacing w:beforeLines="0" w:afterLines="0"/>
              <w:rPr>
                <w:rFonts w:hint="default" w:ascii="Times New Roman CYR" w:hAnsi="Times New Roman CYR" w:eastAsia="Times New Roman CYR"/>
                <w:sz w:val="22"/>
                <w:szCs w:val="24"/>
              </w:rPr>
            </w:pPr>
          </w:p>
          <w:p w14:paraId="726C16E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розглядалися заходи по вирiшенню проблем, пов'язаних з становищем у будiвництвi у зв'язку з воєнним станом;  </w:t>
            </w:r>
          </w:p>
          <w:p w14:paraId="7F634DCC">
            <w:pPr>
              <w:spacing w:beforeLines="0" w:afterLines="0"/>
              <w:rPr>
                <w:rFonts w:hint="default" w:ascii="Times New Roman CYR" w:hAnsi="Times New Roman CYR" w:eastAsia="Times New Roman CYR"/>
                <w:sz w:val="22"/>
                <w:szCs w:val="24"/>
              </w:rPr>
            </w:pPr>
          </w:p>
          <w:p w14:paraId="291EFB1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розглядалися питання та затверджувалися рiшення щодо пiдготовки та  проведення Загальних зборiв акцiонерiв пiд час воєнного стану;</w:t>
            </w:r>
          </w:p>
          <w:p w14:paraId="3E0E80DD">
            <w:pPr>
              <w:spacing w:beforeLines="0" w:afterLines="0"/>
              <w:rPr>
                <w:rFonts w:hint="default" w:ascii="Times New Roman CYR" w:hAnsi="Times New Roman CYR" w:eastAsia="Times New Roman CYR"/>
                <w:sz w:val="22"/>
                <w:szCs w:val="24"/>
              </w:rPr>
            </w:pPr>
          </w:p>
          <w:p w14:paraId="44DF440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аналiзувалося виконання Наказу №21, "Положення про оплату працi"        "Колективного договiру"  (i iншi); </w:t>
            </w:r>
          </w:p>
          <w:p w14:paraId="6D59DD93">
            <w:pPr>
              <w:spacing w:beforeLines="0" w:afterLines="0"/>
              <w:rPr>
                <w:rFonts w:hint="default" w:ascii="Times New Roman CYR" w:hAnsi="Times New Roman CYR" w:eastAsia="Times New Roman CYR"/>
                <w:sz w:val="22"/>
                <w:szCs w:val="24"/>
              </w:rPr>
            </w:pPr>
          </w:p>
          <w:p w14:paraId="37B463E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розроблено заходи по проведенню даних  Загальних зборiв акцiонерiв Товариства.</w:t>
            </w:r>
          </w:p>
          <w:p w14:paraId="687F4D1D">
            <w:pPr>
              <w:spacing w:beforeLines="0" w:afterLines="0"/>
              <w:rPr>
                <w:rFonts w:hint="default" w:ascii="Times New Roman CYR" w:hAnsi="Times New Roman CYR" w:eastAsia="Times New Roman CYR"/>
                <w:sz w:val="22"/>
                <w:szCs w:val="24"/>
              </w:rPr>
            </w:pPr>
          </w:p>
          <w:p w14:paraId="71C02551">
            <w:pPr>
              <w:spacing w:beforeLines="0" w:afterLines="0"/>
              <w:rPr>
                <w:rFonts w:hint="default" w:ascii="Times New Roman CYR" w:hAnsi="Times New Roman CYR" w:eastAsia="Times New Roman CYR"/>
                <w:sz w:val="22"/>
                <w:szCs w:val="24"/>
              </w:rPr>
            </w:pPr>
          </w:p>
          <w:p w14:paraId="4CFC3902">
            <w:pPr>
              <w:spacing w:beforeLines="0" w:afterLines="0"/>
              <w:rPr>
                <w:rFonts w:hint="default" w:ascii="Times New Roman CYR" w:hAnsi="Times New Roman CYR" w:eastAsia="Times New Roman CYR"/>
                <w:sz w:val="22"/>
                <w:szCs w:val="24"/>
              </w:rPr>
            </w:pPr>
          </w:p>
          <w:p w14:paraId="16215537">
            <w:pPr>
              <w:spacing w:beforeLines="0" w:afterLines="0"/>
              <w:rPr>
                <w:rFonts w:hint="default" w:ascii="Times New Roman CYR" w:hAnsi="Times New Roman CYR" w:eastAsia="Times New Roman CYR"/>
                <w:sz w:val="22"/>
                <w:szCs w:val="24"/>
              </w:rPr>
            </w:pPr>
          </w:p>
        </w:tc>
      </w:tr>
    </w:tbl>
    <w:p w14:paraId="11834B25">
      <w:pPr>
        <w:spacing w:beforeLines="0" w:afterLines="0"/>
        <w:jc w:val="left"/>
        <w:rPr>
          <w:rFonts w:hint="default" w:ascii="Times New Roman CYR" w:hAnsi="Times New Roman CYR" w:eastAsia="Times New Roman CYR"/>
          <w:sz w:val="22"/>
          <w:szCs w:val="24"/>
        </w:rPr>
      </w:pPr>
    </w:p>
    <w:p w14:paraId="408BF226">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ради</w:t>
      </w:r>
    </w:p>
    <w:p w14:paraId="1AE7D94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Рiк 2025- це рiк коли на територiї України продовжує дiяти воєнний стан, в зв'язку з вiроломним нападом росiї у лютому 2022 р. </w:t>
      </w:r>
    </w:p>
    <w:p w14:paraId="1550914E">
      <w:pPr>
        <w:spacing w:beforeLines="0" w:afterLines="0"/>
        <w:rPr>
          <w:rFonts w:hint="default" w:ascii="Times New Roman CYR" w:hAnsi="Times New Roman CYR" w:eastAsia="Times New Roman CYR"/>
          <w:sz w:val="24"/>
          <w:szCs w:val="24"/>
        </w:rPr>
      </w:pPr>
    </w:p>
    <w:p w14:paraId="472DC51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Будiвельна галузь опинилась в однiй iз найважчих ситуацiй. Але, попри всю безвихiдь, ми продовжували  працювати не повним складом, шукаючи обсяги робiт для пiдтримки працiвникiв матерiально та збереження колективу.                                        </w:t>
      </w:r>
    </w:p>
    <w:p w14:paraId="670411A7">
      <w:pPr>
        <w:spacing w:beforeLines="0" w:afterLines="0"/>
        <w:rPr>
          <w:rFonts w:hint="default" w:ascii="Times New Roman CYR" w:hAnsi="Times New Roman CYR" w:eastAsia="Times New Roman CYR"/>
          <w:sz w:val="24"/>
          <w:szCs w:val="24"/>
        </w:rPr>
      </w:pPr>
    </w:p>
    <w:p w14:paraId="4C3BEF2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За перiод звiтного 2025 року Наглядова рада працювала у складi, обраному рiчними дистанцiйними загальними (звiтно-виборними) зборами акцiонерiв  Товариства, якi вiдбулися 25.04.2025 р. (Протокол №38 вiд 25.07.2025р), а саме:</w:t>
      </w:r>
    </w:p>
    <w:p w14:paraId="576328C8">
      <w:pPr>
        <w:spacing w:beforeLines="0" w:afterLines="0"/>
        <w:rPr>
          <w:rFonts w:hint="default" w:ascii="Times New Roman CYR" w:hAnsi="Times New Roman CYR" w:eastAsia="Times New Roman CYR"/>
          <w:sz w:val="24"/>
          <w:szCs w:val="24"/>
        </w:rPr>
      </w:pPr>
    </w:p>
    <w:p w14:paraId="72ACA43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-Дзерик Володимир Iванович -  Голова Наглядової ради;</w:t>
      </w:r>
    </w:p>
    <w:p w14:paraId="5F67A3D1">
      <w:pPr>
        <w:spacing w:beforeLines="0" w:afterLines="0"/>
        <w:rPr>
          <w:rFonts w:hint="default" w:ascii="Times New Roman CYR" w:hAnsi="Times New Roman CYR" w:eastAsia="Times New Roman CYR"/>
          <w:sz w:val="24"/>
          <w:szCs w:val="24"/>
        </w:rPr>
      </w:pPr>
    </w:p>
    <w:p w14:paraId="7D5846D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-Кузнєцова Мирослава Олегiвна - член Наглядової ради та секретар;</w:t>
      </w:r>
    </w:p>
    <w:p w14:paraId="0A9EB3AC">
      <w:pPr>
        <w:spacing w:beforeLines="0" w:afterLines="0"/>
        <w:rPr>
          <w:rFonts w:hint="default" w:ascii="Times New Roman CYR" w:hAnsi="Times New Roman CYR" w:eastAsia="Times New Roman CYR"/>
          <w:sz w:val="24"/>
          <w:szCs w:val="24"/>
        </w:rPr>
      </w:pPr>
    </w:p>
    <w:p w14:paraId="2ADCBBC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-Макаренко Галина Венаминiвна  -  член Наглядової ради.  </w:t>
      </w:r>
    </w:p>
    <w:p w14:paraId="28B36137">
      <w:pPr>
        <w:spacing w:beforeLines="0" w:afterLines="0"/>
        <w:rPr>
          <w:rFonts w:hint="default" w:ascii="Times New Roman CYR" w:hAnsi="Times New Roman CYR" w:eastAsia="Times New Roman CYR"/>
          <w:sz w:val="24"/>
          <w:szCs w:val="24"/>
        </w:rPr>
      </w:pPr>
    </w:p>
    <w:p w14:paraId="25BE535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w:t>
      </w:r>
    </w:p>
    <w:p w14:paraId="294C90A2">
      <w:pPr>
        <w:spacing w:beforeLines="0" w:afterLines="0"/>
        <w:rPr>
          <w:rFonts w:hint="default" w:ascii="Times New Roman CYR" w:hAnsi="Times New Roman CYR" w:eastAsia="Times New Roman CYR"/>
          <w:sz w:val="24"/>
          <w:szCs w:val="24"/>
        </w:rPr>
      </w:pPr>
    </w:p>
    <w:p w14:paraId="5AFDA8E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Мiж зборами Наглядова рада ПрАТ "Київспецмонтаж",  у межах компетенцiї, що визначено Законом України "Про акцiонернi товариства", Статутом Товариства та Положенням  "Про Наглядову раду", контролювала та регулювала дiяльнiсть Товариства щодо виконання рiшень Загальних зборiв акцiонерiв, контролювала  дiяльнiсть Виконавчого органу (Директора), стимулювала трудову дiяльнiсть, iнiцiювала прийняття рiшень по забезпеченню виконання органами управлiння  та iншими службами АТ завдань та обов"язкiв.  </w:t>
      </w:r>
    </w:p>
    <w:p w14:paraId="34C6C4D4">
      <w:pPr>
        <w:spacing w:beforeLines="0" w:afterLines="0"/>
        <w:rPr>
          <w:rFonts w:hint="default" w:ascii="Times New Roman CYR" w:hAnsi="Times New Roman CYR" w:eastAsia="Times New Roman CYR"/>
          <w:sz w:val="24"/>
          <w:szCs w:val="24"/>
        </w:rPr>
      </w:pPr>
    </w:p>
    <w:p w14:paraId="75271B1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Рiшення Наглядової ради приймаються колегiально на засiданнях Наглядової ради, куди запрошується  Директор, а при необхiдностi спецiалiсти та посадовцi Товариства. </w:t>
      </w:r>
    </w:p>
    <w:p w14:paraId="77793538">
      <w:pPr>
        <w:spacing w:beforeLines="0" w:afterLines="0"/>
        <w:rPr>
          <w:rFonts w:hint="default" w:ascii="Times New Roman CYR" w:hAnsi="Times New Roman CYR" w:eastAsia="Times New Roman CYR"/>
          <w:sz w:val="24"/>
          <w:szCs w:val="24"/>
        </w:rPr>
      </w:pPr>
    </w:p>
    <w:p w14:paraId="77A5F2A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Згiдно Статуту Товариства черговi засiдання Наглядової ради проводяться в мiру необхiдностi, але не рiдше одного разу на квартал.</w:t>
      </w:r>
    </w:p>
    <w:p w14:paraId="524C2B93">
      <w:pPr>
        <w:spacing w:beforeLines="0" w:afterLines="0"/>
        <w:rPr>
          <w:rFonts w:hint="default" w:ascii="Times New Roman CYR" w:hAnsi="Times New Roman CYR" w:eastAsia="Times New Roman CYR"/>
          <w:sz w:val="24"/>
          <w:szCs w:val="24"/>
        </w:rPr>
      </w:pPr>
    </w:p>
    <w:p w14:paraId="767F635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w:t>
      </w:r>
    </w:p>
    <w:p w14:paraId="353A862C">
      <w:pPr>
        <w:spacing w:beforeLines="0" w:afterLines="0"/>
        <w:rPr>
          <w:rFonts w:hint="default" w:ascii="Times New Roman CYR" w:hAnsi="Times New Roman CYR" w:eastAsia="Times New Roman CYR"/>
          <w:sz w:val="24"/>
          <w:szCs w:val="24"/>
        </w:rPr>
      </w:pPr>
    </w:p>
    <w:p w14:paraId="10A2193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На засiданнях розглядалися фiнансово-економiчнi результати господарської дiяльностi Товариства, аналiзувалася робота Директора та дiльниць, оцiнено дiяльнiсть Директора (Виконавчого органу) за 2025 р. , а також: </w:t>
      </w:r>
    </w:p>
    <w:p w14:paraId="6AF4CE95">
      <w:pPr>
        <w:spacing w:beforeLines="0" w:afterLines="0"/>
        <w:rPr>
          <w:rFonts w:hint="default" w:ascii="Times New Roman CYR" w:hAnsi="Times New Roman CYR" w:eastAsia="Times New Roman CYR"/>
          <w:sz w:val="24"/>
          <w:szCs w:val="24"/>
        </w:rPr>
      </w:pPr>
    </w:p>
    <w:p w14:paraId="2267CD9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розглядались питання по забезпеченню дiльниць та ВКД обсягами робiт, затверджувалися помiсячнi план-графiки; </w:t>
      </w:r>
    </w:p>
    <w:p w14:paraId="19AB7F8F">
      <w:pPr>
        <w:spacing w:beforeLines="0" w:afterLines="0"/>
        <w:rPr>
          <w:rFonts w:hint="default" w:ascii="Times New Roman CYR" w:hAnsi="Times New Roman CYR" w:eastAsia="Times New Roman CYR"/>
          <w:sz w:val="24"/>
          <w:szCs w:val="24"/>
        </w:rPr>
      </w:pPr>
    </w:p>
    <w:p w14:paraId="51E4DC7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органiзацiя роботи апарату управлiння, лiнiйних працiвникiв, IТР виробничої бази, виходячи iз реальних об'ємiв робiт; </w:t>
      </w:r>
    </w:p>
    <w:p w14:paraId="7AE39000">
      <w:pPr>
        <w:spacing w:beforeLines="0" w:afterLines="0"/>
        <w:rPr>
          <w:rFonts w:hint="default" w:ascii="Times New Roman CYR" w:hAnsi="Times New Roman CYR" w:eastAsia="Times New Roman CYR"/>
          <w:sz w:val="24"/>
          <w:szCs w:val="24"/>
        </w:rPr>
      </w:pPr>
    </w:p>
    <w:p w14:paraId="0F19FB4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розглядався аналiз роботи Товариства за вiдпрацьований вiдповiдний перiод та плани робiт на мiсяць;</w:t>
      </w:r>
    </w:p>
    <w:p w14:paraId="6E20C613">
      <w:pPr>
        <w:spacing w:beforeLines="0" w:afterLines="0"/>
        <w:rPr>
          <w:rFonts w:hint="default" w:ascii="Times New Roman CYR" w:hAnsi="Times New Roman CYR" w:eastAsia="Times New Roman CYR"/>
          <w:sz w:val="24"/>
          <w:szCs w:val="24"/>
        </w:rPr>
      </w:pPr>
    </w:p>
    <w:p w14:paraId="2D7C45A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аналiз вiдрядної заробiтної плати по Товариству;</w:t>
      </w:r>
    </w:p>
    <w:p w14:paraId="1E7CFB56">
      <w:pPr>
        <w:spacing w:beforeLines="0" w:afterLines="0"/>
        <w:rPr>
          <w:rFonts w:hint="default" w:ascii="Times New Roman CYR" w:hAnsi="Times New Roman CYR" w:eastAsia="Times New Roman CYR"/>
          <w:sz w:val="24"/>
          <w:szCs w:val="24"/>
        </w:rPr>
      </w:pPr>
    </w:p>
    <w:p w14:paraId="0997AF5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розглядалися питання щодо погашення заборгованостi за попереднi перiоди та придбання квартири; </w:t>
      </w:r>
    </w:p>
    <w:p w14:paraId="6F34B937">
      <w:pPr>
        <w:spacing w:beforeLines="0" w:afterLines="0"/>
        <w:rPr>
          <w:rFonts w:hint="default" w:ascii="Times New Roman CYR" w:hAnsi="Times New Roman CYR" w:eastAsia="Times New Roman CYR"/>
          <w:sz w:val="24"/>
          <w:szCs w:val="24"/>
        </w:rPr>
      </w:pPr>
    </w:p>
    <w:p w14:paraId="792C73A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для забезпечення готiвкових коштiв на розрахунковому рахунку Товариства, розглядалися питання та приймалися рiшення щодо продажi, належних Товариству квартир;   </w:t>
      </w:r>
    </w:p>
    <w:p w14:paraId="182F658E">
      <w:pPr>
        <w:spacing w:beforeLines="0" w:afterLines="0"/>
        <w:rPr>
          <w:rFonts w:hint="default" w:ascii="Times New Roman CYR" w:hAnsi="Times New Roman CYR" w:eastAsia="Times New Roman CYR"/>
          <w:sz w:val="24"/>
          <w:szCs w:val="24"/>
        </w:rPr>
      </w:pPr>
    </w:p>
    <w:p w14:paraId="0903623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аналiзувалася орендна плата за оренду нежитлових та житлових примiщень, якi є власнiстю Товариства;  </w:t>
      </w:r>
    </w:p>
    <w:p w14:paraId="77FDA8B0">
      <w:pPr>
        <w:spacing w:beforeLines="0" w:afterLines="0"/>
        <w:rPr>
          <w:rFonts w:hint="default" w:ascii="Times New Roman CYR" w:hAnsi="Times New Roman CYR" w:eastAsia="Times New Roman CYR"/>
          <w:sz w:val="24"/>
          <w:szCs w:val="24"/>
        </w:rPr>
      </w:pPr>
    </w:p>
    <w:p w14:paraId="1CD8A67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розглядався стан розрахункiв за виконанi роботи; </w:t>
      </w:r>
    </w:p>
    <w:p w14:paraId="4187BC93">
      <w:pPr>
        <w:spacing w:beforeLines="0" w:afterLines="0"/>
        <w:rPr>
          <w:rFonts w:hint="default" w:ascii="Times New Roman CYR" w:hAnsi="Times New Roman CYR" w:eastAsia="Times New Roman CYR"/>
          <w:sz w:val="24"/>
          <w:szCs w:val="24"/>
        </w:rPr>
      </w:pPr>
    </w:p>
    <w:p w14:paraId="27EF665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розглядався аналiз фiнансових результатiв роботи Товариства та собiвартiсть БМР ;</w:t>
      </w:r>
    </w:p>
    <w:p w14:paraId="078128EC">
      <w:pPr>
        <w:spacing w:beforeLines="0" w:afterLines="0"/>
        <w:rPr>
          <w:rFonts w:hint="default" w:ascii="Times New Roman CYR" w:hAnsi="Times New Roman CYR" w:eastAsia="Times New Roman CYR"/>
          <w:sz w:val="24"/>
          <w:szCs w:val="24"/>
        </w:rPr>
      </w:pPr>
    </w:p>
    <w:p w14:paraId="3AB5C63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розглядалися заходи по вирiшенню проблем, пов'язаних з становищем у будiвництвi у зв'язку з воєнним станом;  </w:t>
      </w:r>
    </w:p>
    <w:p w14:paraId="19D238B4">
      <w:pPr>
        <w:spacing w:beforeLines="0" w:afterLines="0"/>
        <w:rPr>
          <w:rFonts w:hint="default" w:ascii="Times New Roman CYR" w:hAnsi="Times New Roman CYR" w:eastAsia="Times New Roman CYR"/>
          <w:sz w:val="24"/>
          <w:szCs w:val="24"/>
        </w:rPr>
      </w:pPr>
    </w:p>
    <w:p w14:paraId="634F58D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розглядалися питання та затверджувалися рiшення щодо пiдготовки та  проведення Загальних зборiв акцiонерiв пiд час воєнного стану;</w:t>
      </w:r>
    </w:p>
    <w:p w14:paraId="2E062F50">
      <w:pPr>
        <w:spacing w:beforeLines="0" w:afterLines="0"/>
        <w:rPr>
          <w:rFonts w:hint="default" w:ascii="Times New Roman CYR" w:hAnsi="Times New Roman CYR" w:eastAsia="Times New Roman CYR"/>
          <w:sz w:val="24"/>
          <w:szCs w:val="24"/>
        </w:rPr>
      </w:pPr>
    </w:p>
    <w:p w14:paraId="35E8DF3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аналiзувалося виконання Наказу №21, "Положення про оплату працi"        "Колективного договiру"  (i iншi); </w:t>
      </w:r>
    </w:p>
    <w:p w14:paraId="5C6EBDB0">
      <w:pPr>
        <w:spacing w:beforeLines="0" w:afterLines="0"/>
        <w:rPr>
          <w:rFonts w:hint="default" w:ascii="Times New Roman CYR" w:hAnsi="Times New Roman CYR" w:eastAsia="Times New Roman CYR"/>
          <w:sz w:val="24"/>
          <w:szCs w:val="24"/>
        </w:rPr>
      </w:pPr>
    </w:p>
    <w:p w14:paraId="0922DB5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приймалися рiшення щодо забезпечення виконання законодавства України;</w:t>
      </w:r>
    </w:p>
    <w:p w14:paraId="2950CC2C">
      <w:pPr>
        <w:spacing w:beforeLines="0" w:afterLines="0"/>
        <w:rPr>
          <w:rFonts w:hint="default" w:ascii="Times New Roman CYR" w:hAnsi="Times New Roman CYR" w:eastAsia="Times New Roman CYR"/>
          <w:sz w:val="24"/>
          <w:szCs w:val="24"/>
        </w:rPr>
      </w:pPr>
    </w:p>
    <w:p w14:paraId="68675D7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розроблено заходи по проведенню даних  Загальних зборiв акцiонерiв Товариства.</w:t>
      </w:r>
    </w:p>
    <w:p w14:paraId="2BD14C91">
      <w:pPr>
        <w:spacing w:beforeLines="0" w:afterLines="0"/>
        <w:rPr>
          <w:rFonts w:hint="default" w:ascii="Times New Roman CYR" w:hAnsi="Times New Roman CYR" w:eastAsia="Times New Roman CYR"/>
          <w:sz w:val="24"/>
          <w:szCs w:val="24"/>
        </w:rPr>
      </w:pPr>
    </w:p>
    <w:p w14:paraId="1586B49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Неодноразово Директору зауважувалося про недостатню виховну роботу.</w:t>
      </w:r>
    </w:p>
    <w:p w14:paraId="72783988">
      <w:pPr>
        <w:spacing w:beforeLines="0" w:afterLines="0"/>
        <w:rPr>
          <w:rFonts w:hint="default" w:ascii="Times New Roman CYR" w:hAnsi="Times New Roman CYR" w:eastAsia="Times New Roman CYR"/>
          <w:sz w:val="24"/>
          <w:szCs w:val="24"/>
        </w:rPr>
      </w:pPr>
    </w:p>
    <w:p w14:paraId="2AC79F5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На всi питання давалися своєчаснi та вичерпнi вiдповiдi. </w:t>
      </w:r>
    </w:p>
    <w:p w14:paraId="2784F85B">
      <w:pPr>
        <w:spacing w:beforeLines="0" w:afterLines="0"/>
        <w:rPr>
          <w:rFonts w:hint="default" w:ascii="Times New Roman CYR" w:hAnsi="Times New Roman CYR" w:eastAsia="Times New Roman CYR"/>
          <w:sz w:val="24"/>
          <w:szCs w:val="24"/>
        </w:rPr>
      </w:pPr>
    </w:p>
    <w:p w14:paraId="54B5CBA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w:t>
      </w:r>
    </w:p>
    <w:p w14:paraId="0D6DBD14">
      <w:pPr>
        <w:spacing w:beforeLines="0" w:afterLines="0"/>
        <w:rPr>
          <w:rFonts w:hint="default" w:ascii="Times New Roman CYR" w:hAnsi="Times New Roman CYR" w:eastAsia="Times New Roman CYR"/>
          <w:sz w:val="24"/>
          <w:szCs w:val="24"/>
        </w:rPr>
      </w:pPr>
    </w:p>
    <w:p w14:paraId="09754B3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Виходячи з аналiзу виробничої та фiнансово-господарської дiяльностi, Товариством у 2025 р. за пiдсумками роботи  (по даних бухгалтерського облiку) виконано в цiлому: </w:t>
      </w:r>
    </w:p>
    <w:p w14:paraId="7ECA0AF5">
      <w:pPr>
        <w:spacing w:beforeLines="0" w:afterLines="0"/>
        <w:rPr>
          <w:rFonts w:hint="default" w:ascii="Times New Roman CYR" w:hAnsi="Times New Roman CYR" w:eastAsia="Times New Roman CYR"/>
          <w:sz w:val="24"/>
          <w:szCs w:val="24"/>
        </w:rPr>
      </w:pPr>
    </w:p>
    <w:p w14:paraId="4C8D6EE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в ДЦ - 44190,59 тис. грн.  (з МПЗ без ПДВ), що складає 83,83% до аналогiчного показника 2024 р. i 35,12%  до  виконання 2021 р.</w:t>
      </w:r>
    </w:p>
    <w:p w14:paraId="33D25619">
      <w:pPr>
        <w:spacing w:beforeLines="0" w:afterLines="0"/>
        <w:rPr>
          <w:rFonts w:hint="default" w:ascii="Times New Roman CYR" w:hAnsi="Times New Roman CYR" w:eastAsia="Times New Roman CYR"/>
          <w:sz w:val="24"/>
          <w:szCs w:val="24"/>
        </w:rPr>
      </w:pPr>
    </w:p>
    <w:p w14:paraId="6072318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обсяги БМР виконанi на рiвнi - 32498,57 тис. грн., що складає 64,9% до БМР 2024 р. i 32,78% до БМР 2021 р. </w:t>
      </w:r>
    </w:p>
    <w:p w14:paraId="460E8B4F">
      <w:pPr>
        <w:spacing w:beforeLines="0" w:afterLines="0"/>
        <w:rPr>
          <w:rFonts w:hint="default" w:ascii="Times New Roman CYR" w:hAnsi="Times New Roman CYR" w:eastAsia="Times New Roman CYR"/>
          <w:sz w:val="24"/>
          <w:szCs w:val="24"/>
        </w:rPr>
      </w:pPr>
    </w:p>
    <w:p w14:paraId="555AF5D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ефективнiсть  виробничої дiяльностi (рентабельнiсть) у 2025р. продовжувала падати i склала -  -964,0 тис. грн. У 2024 р.- це складало 19,3 тис. грн. Збитковою залишається виробнича дiяльнiсть монтажних дiльниць.  За пiдсумками 2025 року збиток складає 1515,77 тис. грн., виготовлення ж продукцiї ВКД є рентабельним, отримано 551,806 тис. грн. прибутку.  </w:t>
      </w:r>
    </w:p>
    <w:p w14:paraId="3ECAF8FD">
      <w:pPr>
        <w:spacing w:beforeLines="0" w:afterLines="0"/>
        <w:rPr>
          <w:rFonts w:hint="default" w:ascii="Times New Roman CYR" w:hAnsi="Times New Roman CYR" w:eastAsia="Times New Roman CYR"/>
          <w:sz w:val="24"/>
          <w:szCs w:val="24"/>
        </w:rPr>
      </w:pPr>
    </w:p>
    <w:p w14:paraId="207EAF4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 аналогiчний перiод 2024 року збиток вiд виробничої дiяльностi складав 1102,7 тис. грн., виготовлення ж продукцiї ВКД отримано 1122,0 тис.грн. прибутку.</w:t>
      </w:r>
    </w:p>
    <w:p w14:paraId="4728B94A">
      <w:pPr>
        <w:spacing w:beforeLines="0" w:afterLines="0"/>
        <w:rPr>
          <w:rFonts w:hint="default" w:ascii="Times New Roman CYR" w:hAnsi="Times New Roman CYR" w:eastAsia="Times New Roman CYR"/>
          <w:sz w:val="24"/>
          <w:szCs w:val="24"/>
        </w:rPr>
      </w:pPr>
    </w:p>
    <w:p w14:paraId="1304A567">
      <w:pPr>
        <w:spacing w:beforeLines="0" w:afterLines="0"/>
        <w:rPr>
          <w:rFonts w:hint="default" w:ascii="Times New Roman CYR" w:hAnsi="Times New Roman CYR" w:eastAsia="Times New Roman CYR"/>
          <w:sz w:val="24"/>
          <w:szCs w:val="24"/>
        </w:rPr>
      </w:pPr>
    </w:p>
    <w:p w14:paraId="2581CC5E">
      <w:pPr>
        <w:spacing w:beforeLines="0" w:afterLines="0"/>
        <w:rPr>
          <w:rFonts w:hint="default" w:ascii="Times New Roman CYR" w:hAnsi="Times New Roman CYR" w:eastAsia="Times New Roman CYR"/>
          <w:sz w:val="24"/>
          <w:szCs w:val="24"/>
        </w:rPr>
      </w:pPr>
    </w:p>
    <w:p w14:paraId="2B90920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На формування прибутку та ефективнiсть виробництва має вплив  не належна органiзацiя виробництва в цiлому на об"єктах, вiдсутнiсть  фахiвцiв тим бiльше квалiфiкованих, невiдповiднiсть спiввiдношення вартостi робiт i матерiалiв у договiрнiй цiнi та облiкова полiтика Товариства.</w:t>
      </w:r>
    </w:p>
    <w:p w14:paraId="0923C554">
      <w:pPr>
        <w:spacing w:beforeLines="0" w:afterLines="0"/>
        <w:rPr>
          <w:rFonts w:hint="default" w:ascii="Times New Roman CYR" w:hAnsi="Times New Roman CYR" w:eastAsia="Times New Roman CYR"/>
          <w:sz w:val="24"/>
          <w:szCs w:val="24"/>
        </w:rPr>
      </w:pPr>
    </w:p>
    <w:p w14:paraId="2EECF687">
      <w:pPr>
        <w:spacing w:beforeLines="0" w:afterLines="0"/>
        <w:rPr>
          <w:rFonts w:hint="default" w:ascii="Times New Roman CYR" w:hAnsi="Times New Roman CYR" w:eastAsia="Times New Roman CYR"/>
          <w:sz w:val="24"/>
          <w:szCs w:val="24"/>
        </w:rPr>
      </w:pPr>
    </w:p>
    <w:p w14:paraId="7333A972">
      <w:pPr>
        <w:spacing w:beforeLines="0" w:afterLines="0"/>
        <w:rPr>
          <w:rFonts w:hint="default" w:ascii="Times New Roman CYR" w:hAnsi="Times New Roman CYR" w:eastAsia="Times New Roman CYR"/>
          <w:sz w:val="24"/>
          <w:szCs w:val="24"/>
        </w:rPr>
      </w:pPr>
    </w:p>
    <w:p w14:paraId="085176C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Виведення монтажних дiльниць на беззбиткову роботу було завданням у 2025 роцi. Але це не вдалося.  Тому це лишається прiоритетним i на 2026 рiк.</w:t>
      </w:r>
    </w:p>
    <w:p w14:paraId="2B079217">
      <w:pPr>
        <w:spacing w:beforeLines="0" w:afterLines="0"/>
        <w:rPr>
          <w:rFonts w:hint="default" w:ascii="Times New Roman CYR" w:hAnsi="Times New Roman CYR" w:eastAsia="Times New Roman CYR"/>
          <w:sz w:val="24"/>
          <w:szCs w:val="24"/>
        </w:rPr>
      </w:pPr>
    </w:p>
    <w:p w14:paraId="7501F94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Рентабельнiсть продукцiї виробничої бази (вентиляцiйного та складального цехiв) знизилася до 7,73 % , яка у 2024 роцi складала 10,72%.</w:t>
      </w:r>
    </w:p>
    <w:p w14:paraId="3CE06544">
      <w:pPr>
        <w:spacing w:beforeLines="0" w:afterLines="0"/>
        <w:rPr>
          <w:rFonts w:hint="default" w:ascii="Times New Roman CYR" w:hAnsi="Times New Roman CYR" w:eastAsia="Times New Roman CYR"/>
          <w:sz w:val="24"/>
          <w:szCs w:val="24"/>
        </w:rPr>
      </w:pPr>
    </w:p>
    <w:p w14:paraId="655EA41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Робiтниками монтажних дiльниць та ВКД вiдпрацьовано 3313 люд.днiв проти 4959 люд.днiв у 2024 р. </w:t>
      </w:r>
    </w:p>
    <w:p w14:paraId="406E4F9C">
      <w:pPr>
        <w:spacing w:beforeLines="0" w:afterLines="0"/>
        <w:rPr>
          <w:rFonts w:hint="default" w:ascii="Times New Roman CYR" w:hAnsi="Times New Roman CYR" w:eastAsia="Times New Roman CYR"/>
          <w:sz w:val="24"/>
          <w:szCs w:val="24"/>
        </w:rPr>
      </w:pPr>
    </w:p>
    <w:p w14:paraId="78CBFE9F">
      <w:pPr>
        <w:spacing w:beforeLines="0" w:afterLines="0"/>
        <w:rPr>
          <w:rFonts w:hint="default" w:ascii="Times New Roman CYR" w:hAnsi="Times New Roman CYR" w:eastAsia="Times New Roman CYR"/>
          <w:sz w:val="24"/>
          <w:szCs w:val="24"/>
        </w:rPr>
      </w:pPr>
    </w:p>
    <w:p w14:paraId="298F5713">
      <w:pPr>
        <w:spacing w:beforeLines="0" w:afterLines="0"/>
        <w:rPr>
          <w:rFonts w:hint="default" w:ascii="Times New Roman CYR" w:hAnsi="Times New Roman CYR" w:eastAsia="Times New Roman CYR"/>
          <w:sz w:val="24"/>
          <w:szCs w:val="24"/>
        </w:rPr>
      </w:pPr>
    </w:p>
    <w:p w14:paraId="67361AE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Аналiз показникiв:</w:t>
      </w:r>
    </w:p>
    <w:p w14:paraId="2984C9D6">
      <w:pPr>
        <w:spacing w:beforeLines="0" w:afterLines="0"/>
        <w:rPr>
          <w:rFonts w:hint="default" w:ascii="Times New Roman CYR" w:hAnsi="Times New Roman CYR" w:eastAsia="Times New Roman CYR"/>
          <w:sz w:val="24"/>
          <w:szCs w:val="24"/>
        </w:rPr>
      </w:pPr>
    </w:p>
    <w:p w14:paraId="53E4A18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Монтажними та пусконалагоджувальною дiльницею виконано власними силами обсяги робiт в ДЦ (без ПДВ) 37783,66 тис.грн., або 91,87% до рiвня 2024 року  i 115,07% до рiвня 2022 року.</w:t>
      </w:r>
    </w:p>
    <w:p w14:paraId="586D33DF">
      <w:pPr>
        <w:spacing w:beforeLines="0" w:afterLines="0"/>
        <w:rPr>
          <w:rFonts w:hint="default" w:ascii="Times New Roman CYR" w:hAnsi="Times New Roman CYR" w:eastAsia="Times New Roman CYR"/>
          <w:sz w:val="24"/>
          <w:szCs w:val="24"/>
        </w:rPr>
      </w:pPr>
    </w:p>
    <w:p w14:paraId="584DFBE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виконанiй дiльницями договiрнiй цiнi, за даними бухоблiку, БМР склали 37617,41 тис.грн., по вiдношенню до рiвня 2024 року це склало 96,24% i 145,2% до рiвня 2022 року.</w:t>
      </w:r>
    </w:p>
    <w:p w14:paraId="240BD334">
      <w:pPr>
        <w:spacing w:beforeLines="0" w:afterLines="0"/>
        <w:rPr>
          <w:rFonts w:hint="default" w:ascii="Times New Roman CYR" w:hAnsi="Times New Roman CYR" w:eastAsia="Times New Roman CYR"/>
          <w:sz w:val="24"/>
          <w:szCs w:val="24"/>
        </w:rPr>
      </w:pPr>
    </w:p>
    <w:p w14:paraId="79D2BF86">
      <w:pPr>
        <w:spacing w:beforeLines="0" w:afterLines="0"/>
        <w:rPr>
          <w:rFonts w:hint="default" w:ascii="Times New Roman CYR" w:hAnsi="Times New Roman CYR" w:eastAsia="Times New Roman CYR"/>
          <w:sz w:val="24"/>
          <w:szCs w:val="24"/>
        </w:rPr>
      </w:pPr>
    </w:p>
    <w:p w14:paraId="3BF4252E">
      <w:pPr>
        <w:spacing w:beforeLines="0" w:afterLines="0"/>
        <w:rPr>
          <w:rFonts w:hint="default" w:ascii="Times New Roman CYR" w:hAnsi="Times New Roman CYR" w:eastAsia="Times New Roman CYR"/>
          <w:sz w:val="24"/>
          <w:szCs w:val="24"/>
        </w:rPr>
      </w:pPr>
    </w:p>
    <w:p w14:paraId="0B09E36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Фонд вiдрядної заробiтної плати дiльниць у 2025 роцi склав - 3868,4 тис. грн., проти - 4273,98 тис.грн у 2024 роцi  та 3346,4 тис.грн у 2022 роцi.</w:t>
      </w:r>
    </w:p>
    <w:p w14:paraId="46412147">
      <w:pPr>
        <w:spacing w:beforeLines="0" w:afterLines="0"/>
        <w:rPr>
          <w:rFonts w:hint="default" w:ascii="Times New Roman CYR" w:hAnsi="Times New Roman CYR" w:eastAsia="Times New Roman CYR"/>
          <w:sz w:val="24"/>
          <w:szCs w:val="24"/>
        </w:rPr>
      </w:pPr>
    </w:p>
    <w:p w14:paraId="7D3974B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 зростання показника фонду вiдрядної заробiтної плати значний вплив спричинив фактор збiльшення вiдрядних розцiнок, а саме: 3 01.01.2025 р. та  з 01.07.2025 р. пiдвищено розцiнки вiдрядного заробiтку -</w:t>
      </w:r>
    </w:p>
    <w:p w14:paraId="0811912C">
      <w:pPr>
        <w:spacing w:beforeLines="0" w:afterLines="0"/>
        <w:rPr>
          <w:rFonts w:hint="default" w:ascii="Times New Roman CYR" w:hAnsi="Times New Roman CYR" w:eastAsia="Times New Roman CYR"/>
          <w:sz w:val="24"/>
          <w:szCs w:val="24"/>
        </w:rPr>
      </w:pPr>
    </w:p>
    <w:p w14:paraId="2557AB0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на монтажнi роботи    -  16% +14 %;</w:t>
      </w:r>
    </w:p>
    <w:p w14:paraId="33689E81">
      <w:pPr>
        <w:spacing w:beforeLines="0" w:afterLines="0"/>
        <w:rPr>
          <w:rFonts w:hint="default" w:ascii="Times New Roman CYR" w:hAnsi="Times New Roman CYR" w:eastAsia="Times New Roman CYR"/>
          <w:sz w:val="24"/>
          <w:szCs w:val="24"/>
        </w:rPr>
      </w:pPr>
    </w:p>
    <w:p w14:paraId="0337033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на iзоляцiйнi роботи   -  16% + 14 %;</w:t>
      </w:r>
    </w:p>
    <w:p w14:paraId="794C1BF7">
      <w:pPr>
        <w:spacing w:beforeLines="0" w:afterLines="0"/>
        <w:rPr>
          <w:rFonts w:hint="default" w:ascii="Times New Roman CYR" w:hAnsi="Times New Roman CYR" w:eastAsia="Times New Roman CYR"/>
          <w:sz w:val="24"/>
          <w:szCs w:val="24"/>
        </w:rPr>
      </w:pPr>
    </w:p>
    <w:p w14:paraId="5840B70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на виготовлення продукцiї вентиляцiйним i</w:t>
      </w:r>
    </w:p>
    <w:p w14:paraId="4FC34D94">
      <w:pPr>
        <w:spacing w:beforeLines="0" w:afterLines="0"/>
        <w:rPr>
          <w:rFonts w:hint="default" w:ascii="Times New Roman CYR" w:hAnsi="Times New Roman CYR" w:eastAsia="Times New Roman CYR"/>
          <w:sz w:val="24"/>
          <w:szCs w:val="24"/>
        </w:rPr>
      </w:pPr>
    </w:p>
    <w:p w14:paraId="04E4927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складальним цехами - 8% +10%.</w:t>
      </w:r>
    </w:p>
    <w:p w14:paraId="74564FBB">
      <w:pPr>
        <w:spacing w:beforeLines="0" w:afterLines="0"/>
        <w:rPr>
          <w:rFonts w:hint="default" w:ascii="Times New Roman CYR" w:hAnsi="Times New Roman CYR" w:eastAsia="Times New Roman CYR"/>
          <w:sz w:val="24"/>
          <w:szCs w:val="24"/>
        </w:rPr>
      </w:pPr>
    </w:p>
    <w:p w14:paraId="33F1E2C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 2024 рiк збiльшення вiдрядних розцiнок проводилося  також у кiлька етапiв i за рiк вiдряднi розцiнки для монтажних дiльниць були збiльшенi в середньому на 45,2 %.</w:t>
      </w:r>
    </w:p>
    <w:p w14:paraId="13AEBB98">
      <w:pPr>
        <w:spacing w:beforeLines="0" w:afterLines="0"/>
        <w:rPr>
          <w:rFonts w:hint="default" w:ascii="Times New Roman CYR" w:hAnsi="Times New Roman CYR" w:eastAsia="Times New Roman CYR"/>
          <w:sz w:val="24"/>
          <w:szCs w:val="24"/>
        </w:rPr>
      </w:pPr>
    </w:p>
    <w:p w14:paraId="7B59264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Коефiцiєнт пiдняття розцiнок у 2025 роцi склав -1,322, </w:t>
      </w:r>
    </w:p>
    <w:p w14:paraId="47BDE420">
      <w:pPr>
        <w:spacing w:beforeLines="0" w:afterLines="0"/>
        <w:rPr>
          <w:rFonts w:hint="default" w:ascii="Times New Roman CYR" w:hAnsi="Times New Roman CYR" w:eastAsia="Times New Roman CYR"/>
          <w:sz w:val="24"/>
          <w:szCs w:val="24"/>
        </w:rPr>
      </w:pPr>
    </w:p>
    <w:p w14:paraId="75AD45B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 у 2024 роцi -1,441.</w:t>
      </w:r>
    </w:p>
    <w:p w14:paraId="09252DF4">
      <w:pPr>
        <w:spacing w:beforeLines="0" w:afterLines="0"/>
        <w:rPr>
          <w:rFonts w:hint="default" w:ascii="Times New Roman CYR" w:hAnsi="Times New Roman CYR" w:eastAsia="Times New Roman CYR"/>
          <w:sz w:val="24"/>
          <w:szCs w:val="24"/>
        </w:rPr>
      </w:pPr>
    </w:p>
    <w:p w14:paraId="69591030">
      <w:pPr>
        <w:spacing w:beforeLines="0" w:afterLines="0"/>
        <w:rPr>
          <w:rFonts w:hint="default" w:ascii="Times New Roman CYR" w:hAnsi="Times New Roman CYR" w:eastAsia="Times New Roman CYR"/>
          <w:sz w:val="24"/>
          <w:szCs w:val="24"/>
        </w:rPr>
      </w:pPr>
    </w:p>
    <w:p w14:paraId="79418640">
      <w:pPr>
        <w:spacing w:beforeLines="0" w:afterLines="0"/>
        <w:rPr>
          <w:rFonts w:hint="default" w:ascii="Times New Roman CYR" w:hAnsi="Times New Roman CYR" w:eastAsia="Times New Roman CYR"/>
          <w:sz w:val="24"/>
          <w:szCs w:val="24"/>
        </w:rPr>
      </w:pPr>
    </w:p>
    <w:p w14:paraId="6B859DA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 рентабельнiсть виробництва дiльниць крiм продуктивностi працi, значний вплив мав фактор - вмiст вартостi матерiалiв  в структурi собiвартостi робiт, який хоч i зменшився на 3,05% проти 2024 року, але  все ж був значний.</w:t>
      </w:r>
    </w:p>
    <w:p w14:paraId="006A270A">
      <w:pPr>
        <w:spacing w:beforeLines="0" w:afterLines="0"/>
        <w:rPr>
          <w:rFonts w:hint="default" w:ascii="Times New Roman CYR" w:hAnsi="Times New Roman CYR" w:eastAsia="Times New Roman CYR"/>
          <w:sz w:val="24"/>
          <w:szCs w:val="24"/>
        </w:rPr>
      </w:pPr>
    </w:p>
    <w:p w14:paraId="5FCDDF7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w:t>
      </w:r>
    </w:p>
    <w:p w14:paraId="60EBF7F4">
      <w:pPr>
        <w:spacing w:beforeLines="0" w:afterLines="0"/>
        <w:rPr>
          <w:rFonts w:hint="default" w:ascii="Times New Roman CYR" w:hAnsi="Times New Roman CYR" w:eastAsia="Times New Roman CYR"/>
          <w:sz w:val="24"/>
          <w:szCs w:val="24"/>
        </w:rPr>
      </w:pPr>
    </w:p>
    <w:p w14:paraId="31C97804">
      <w:pPr>
        <w:spacing w:beforeLines="0" w:afterLines="0"/>
        <w:rPr>
          <w:rFonts w:hint="default" w:ascii="Times New Roman CYR" w:hAnsi="Times New Roman CYR" w:eastAsia="Times New Roman CYR"/>
          <w:sz w:val="24"/>
          <w:szCs w:val="24"/>
        </w:rPr>
      </w:pPr>
    </w:p>
    <w:p w14:paraId="3F7AB329">
      <w:pPr>
        <w:spacing w:beforeLines="0" w:afterLines="0"/>
        <w:rPr>
          <w:rFonts w:hint="default" w:ascii="Times New Roman CYR" w:hAnsi="Times New Roman CYR" w:eastAsia="Times New Roman CYR"/>
          <w:sz w:val="24"/>
          <w:szCs w:val="24"/>
        </w:rPr>
      </w:pPr>
    </w:p>
    <w:p w14:paraId="46CCEF6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Низькi темпи росту середньої заробiтної плати в розрахунку на вiдпрацьований люд.-день в порiвняннi з показником пiдняття вiдрядних розцiнок свiдчать про зниження продуктивностi працi робiтникiв.</w:t>
      </w:r>
    </w:p>
    <w:p w14:paraId="492931AB">
      <w:pPr>
        <w:spacing w:beforeLines="0" w:afterLines="0"/>
        <w:rPr>
          <w:rFonts w:hint="default" w:ascii="Times New Roman CYR" w:hAnsi="Times New Roman CYR" w:eastAsia="Times New Roman CYR"/>
          <w:sz w:val="24"/>
          <w:szCs w:val="24"/>
        </w:rPr>
      </w:pPr>
    </w:p>
    <w:p w14:paraId="2BD47C48">
      <w:pPr>
        <w:spacing w:beforeLines="0" w:afterLines="0"/>
        <w:rPr>
          <w:rFonts w:hint="default" w:ascii="Times New Roman CYR" w:hAnsi="Times New Roman CYR" w:eastAsia="Times New Roman CYR"/>
          <w:sz w:val="24"/>
          <w:szCs w:val="24"/>
        </w:rPr>
      </w:pPr>
    </w:p>
    <w:p w14:paraId="4E5DB5A8">
      <w:pPr>
        <w:spacing w:beforeLines="0" w:afterLines="0"/>
        <w:rPr>
          <w:rFonts w:hint="default" w:ascii="Times New Roman CYR" w:hAnsi="Times New Roman CYR" w:eastAsia="Times New Roman CYR"/>
          <w:sz w:val="24"/>
          <w:szCs w:val="24"/>
        </w:rPr>
      </w:pPr>
    </w:p>
    <w:p w14:paraId="53629F5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 загальному економiчно-виробничому процесi приймає участь ВКД, яка забезпечує об'єкти будiвництва необхiдними виробами та складовими систем вентиляцiї.</w:t>
      </w:r>
    </w:p>
    <w:p w14:paraId="1B2CB2A1">
      <w:pPr>
        <w:spacing w:beforeLines="0" w:afterLines="0"/>
        <w:rPr>
          <w:rFonts w:hint="default" w:ascii="Times New Roman CYR" w:hAnsi="Times New Roman CYR" w:eastAsia="Times New Roman CYR"/>
          <w:sz w:val="24"/>
          <w:szCs w:val="24"/>
        </w:rPr>
      </w:pPr>
    </w:p>
    <w:p w14:paraId="61B99CC9">
      <w:pPr>
        <w:spacing w:beforeLines="0" w:afterLines="0"/>
        <w:rPr>
          <w:rFonts w:hint="default" w:ascii="Times New Roman CYR" w:hAnsi="Times New Roman CYR" w:eastAsia="Times New Roman CYR"/>
          <w:sz w:val="24"/>
          <w:szCs w:val="24"/>
        </w:rPr>
      </w:pPr>
    </w:p>
    <w:p w14:paraId="559283B0">
      <w:pPr>
        <w:spacing w:beforeLines="0" w:afterLines="0"/>
        <w:rPr>
          <w:rFonts w:hint="default" w:ascii="Times New Roman CYR" w:hAnsi="Times New Roman CYR" w:eastAsia="Times New Roman CYR"/>
          <w:sz w:val="24"/>
          <w:szCs w:val="24"/>
        </w:rPr>
      </w:pPr>
    </w:p>
    <w:p w14:paraId="072B4C9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За пiдсумками роботи 2025 роцi вентиляцiйним та складальним цехами ВКД виконано обсяги робiт в ДЦ на суму 7408,06 тис. грн., або 63,84% до минулого 2024 року  та 31,74% до показника 2021 року </w:t>
      </w:r>
    </w:p>
    <w:p w14:paraId="3CAAC9FF">
      <w:pPr>
        <w:spacing w:beforeLines="0" w:afterLines="0"/>
        <w:rPr>
          <w:rFonts w:hint="default" w:ascii="Times New Roman CYR" w:hAnsi="Times New Roman CYR" w:eastAsia="Times New Roman CYR"/>
          <w:sz w:val="24"/>
          <w:szCs w:val="24"/>
        </w:rPr>
      </w:pPr>
    </w:p>
    <w:p w14:paraId="456555C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Обсяги виготовлення повiтроводiв вентиляцiйним цехом  склали 11993,07 м2, що на 32,85 % менше в порiвняннi з минулим 2024 роком (17860,13 м2) i на 75,64%   в порiвняннi з 2021 роком (49230 м2).</w:t>
      </w:r>
    </w:p>
    <w:p w14:paraId="1101BBB0">
      <w:pPr>
        <w:spacing w:beforeLines="0" w:afterLines="0"/>
        <w:rPr>
          <w:rFonts w:hint="default" w:ascii="Times New Roman CYR" w:hAnsi="Times New Roman CYR" w:eastAsia="Times New Roman CYR"/>
          <w:sz w:val="24"/>
          <w:szCs w:val="24"/>
        </w:rPr>
      </w:pPr>
    </w:p>
    <w:p w14:paraId="749DC3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Працiвники вентиляцiйного та складального цехiв  у 2025 роцi вiдпрацювали 734  люд-днi проти 1100 люд.днi за 2024 рiк.  </w:t>
      </w:r>
    </w:p>
    <w:p w14:paraId="355A6939">
      <w:pPr>
        <w:spacing w:beforeLines="0" w:afterLines="0"/>
        <w:rPr>
          <w:rFonts w:hint="default" w:ascii="Times New Roman CYR" w:hAnsi="Times New Roman CYR" w:eastAsia="Times New Roman CYR"/>
          <w:sz w:val="24"/>
          <w:szCs w:val="24"/>
        </w:rPr>
      </w:pPr>
    </w:p>
    <w:p w14:paraId="610412B4">
      <w:pPr>
        <w:spacing w:beforeLines="0" w:afterLines="0"/>
        <w:rPr>
          <w:rFonts w:hint="default" w:ascii="Times New Roman CYR" w:hAnsi="Times New Roman CYR" w:eastAsia="Times New Roman CYR"/>
          <w:sz w:val="24"/>
          <w:szCs w:val="24"/>
        </w:rPr>
      </w:pPr>
    </w:p>
    <w:p w14:paraId="52B7BB19">
      <w:pPr>
        <w:spacing w:beforeLines="0" w:afterLines="0"/>
        <w:rPr>
          <w:rFonts w:hint="default" w:ascii="Times New Roman CYR" w:hAnsi="Times New Roman CYR" w:eastAsia="Times New Roman CYR"/>
          <w:sz w:val="24"/>
          <w:szCs w:val="24"/>
        </w:rPr>
      </w:pPr>
    </w:p>
    <w:p w14:paraId="437E95A3">
      <w:pPr>
        <w:spacing w:beforeLines="0" w:afterLines="0"/>
        <w:rPr>
          <w:rFonts w:hint="default" w:ascii="Times New Roman CYR" w:hAnsi="Times New Roman CYR" w:eastAsia="Times New Roman CYR"/>
          <w:sz w:val="24"/>
          <w:szCs w:val="24"/>
        </w:rPr>
      </w:pPr>
    </w:p>
    <w:p w14:paraId="3A609D84">
      <w:pPr>
        <w:spacing w:beforeLines="0" w:afterLines="0"/>
        <w:rPr>
          <w:rFonts w:hint="default" w:ascii="Times New Roman CYR" w:hAnsi="Times New Roman CYR" w:eastAsia="Times New Roman CYR"/>
          <w:sz w:val="24"/>
          <w:szCs w:val="24"/>
        </w:rPr>
      </w:pPr>
    </w:p>
    <w:p w14:paraId="1A51B1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Протягом 2025 року  роботи  виконувалися на об'єктах де були матерiали, i якi   хоч якось, фiнансувалися. Товариство працювало не в повному складi, але пiдтримували контакти зi всiма працiвниками. </w:t>
      </w:r>
    </w:p>
    <w:p w14:paraId="7F907710">
      <w:pPr>
        <w:spacing w:beforeLines="0" w:afterLines="0"/>
        <w:rPr>
          <w:rFonts w:hint="default" w:ascii="Times New Roman CYR" w:hAnsi="Times New Roman CYR" w:eastAsia="Times New Roman CYR"/>
          <w:sz w:val="24"/>
          <w:szCs w:val="24"/>
        </w:rPr>
      </w:pPr>
    </w:p>
    <w:p w14:paraId="47C297F3">
      <w:pPr>
        <w:spacing w:beforeLines="0" w:afterLines="0"/>
        <w:rPr>
          <w:rFonts w:hint="default" w:ascii="Times New Roman CYR" w:hAnsi="Times New Roman CYR" w:eastAsia="Times New Roman CYR"/>
          <w:sz w:val="24"/>
          <w:szCs w:val="24"/>
        </w:rPr>
      </w:pPr>
    </w:p>
    <w:p w14:paraId="53BA4E6C">
      <w:pPr>
        <w:spacing w:beforeLines="0" w:afterLines="0"/>
        <w:rPr>
          <w:rFonts w:hint="default" w:ascii="Times New Roman CYR" w:hAnsi="Times New Roman CYR" w:eastAsia="Times New Roman CYR"/>
          <w:sz w:val="24"/>
          <w:szCs w:val="24"/>
        </w:rPr>
      </w:pPr>
    </w:p>
    <w:p w14:paraId="4A606A1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За пiдсумками 2025 року середньооблiкова чисельнiсть 32 працiвники. </w:t>
      </w:r>
    </w:p>
    <w:p w14:paraId="302AF3C4">
      <w:pPr>
        <w:spacing w:beforeLines="0" w:afterLines="0"/>
        <w:rPr>
          <w:rFonts w:hint="default" w:ascii="Times New Roman CYR" w:hAnsi="Times New Roman CYR" w:eastAsia="Times New Roman CYR"/>
          <w:sz w:val="24"/>
          <w:szCs w:val="24"/>
        </w:rPr>
      </w:pPr>
    </w:p>
    <w:p w14:paraId="60A9AD7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Станом на 01.04.2026 року мобiлiзованi 11 чоловiк, 1 чоловiк - контрактник. </w:t>
      </w:r>
    </w:p>
    <w:p w14:paraId="4336463D">
      <w:pPr>
        <w:spacing w:beforeLines="0" w:afterLines="0"/>
        <w:rPr>
          <w:rFonts w:hint="default" w:ascii="Times New Roman CYR" w:hAnsi="Times New Roman CYR" w:eastAsia="Times New Roman CYR"/>
          <w:sz w:val="24"/>
          <w:szCs w:val="24"/>
        </w:rPr>
      </w:pPr>
    </w:p>
    <w:p w14:paraId="2106507E">
      <w:pPr>
        <w:spacing w:beforeLines="0" w:afterLines="0"/>
        <w:rPr>
          <w:rFonts w:hint="default" w:ascii="Times New Roman CYR" w:hAnsi="Times New Roman CYR" w:eastAsia="Times New Roman CYR"/>
          <w:sz w:val="24"/>
          <w:szCs w:val="24"/>
        </w:rPr>
      </w:pPr>
    </w:p>
    <w:p w14:paraId="23790ECC">
      <w:pPr>
        <w:spacing w:beforeLines="0" w:afterLines="0"/>
        <w:rPr>
          <w:rFonts w:hint="default" w:ascii="Times New Roman CYR" w:hAnsi="Times New Roman CYR" w:eastAsia="Times New Roman CYR"/>
          <w:sz w:val="24"/>
          <w:szCs w:val="24"/>
        </w:rPr>
      </w:pPr>
    </w:p>
    <w:p w14:paraId="0002935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План робiт - це сума укладених договорiв.  2025 рiк, як i попереднiй,   був  складний щодо виконання договорiв, укладених  на об'єкти будiвництва. В зв'язку з воєнним станом, будiвництво майже зупинено. Знижена загальна ефективнiсть виробничої дiяльностi Товариства.  В 2025 р. в основному роботи виконувалися на об'єктах  де це було можливо i де проводилися розрахунки за виконанi роботи. </w:t>
      </w:r>
    </w:p>
    <w:p w14:paraId="52CA6D01">
      <w:pPr>
        <w:spacing w:beforeLines="0" w:afterLines="0"/>
        <w:rPr>
          <w:rFonts w:hint="default" w:ascii="Times New Roman CYR" w:hAnsi="Times New Roman CYR" w:eastAsia="Times New Roman CYR"/>
          <w:sz w:val="24"/>
          <w:szCs w:val="24"/>
        </w:rPr>
      </w:pPr>
    </w:p>
    <w:p w14:paraId="283A9CB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Кiлькiсть укладених Договорiв у 2025 р склала 20 шт.  суму 46843,430 тис. грн.                         з ПДВ,</w:t>
      </w:r>
    </w:p>
    <w:p w14:paraId="44B22536">
      <w:pPr>
        <w:spacing w:beforeLines="0" w:afterLines="0"/>
        <w:rPr>
          <w:rFonts w:hint="default" w:ascii="Times New Roman CYR" w:hAnsi="Times New Roman CYR" w:eastAsia="Times New Roman CYR"/>
          <w:sz w:val="24"/>
          <w:szCs w:val="24"/>
        </w:rPr>
      </w:pPr>
    </w:p>
    <w:p w14:paraId="1790A08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Залишки по договорах попереднiх перiодiв, на яких Генпiдрядник планує працювати у 2026 р. складає 18000 тис. грн (з ПДВ).</w:t>
      </w:r>
    </w:p>
    <w:p w14:paraId="672E157E">
      <w:pPr>
        <w:spacing w:beforeLines="0" w:afterLines="0"/>
        <w:rPr>
          <w:rFonts w:hint="default" w:ascii="Times New Roman CYR" w:hAnsi="Times New Roman CYR" w:eastAsia="Times New Roman CYR"/>
          <w:sz w:val="24"/>
          <w:szCs w:val="24"/>
        </w:rPr>
      </w:pPr>
    </w:p>
    <w:p w14:paraId="5DAB554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Всього до виконання, на даний час на 2026 р., може плануватися робота на суму   41000 тис. грн (з ПДВ). </w:t>
      </w:r>
    </w:p>
    <w:p w14:paraId="076FB731">
      <w:pPr>
        <w:spacing w:beforeLines="0" w:afterLines="0"/>
        <w:rPr>
          <w:rFonts w:hint="default" w:ascii="Times New Roman CYR" w:hAnsi="Times New Roman CYR" w:eastAsia="Times New Roman CYR"/>
          <w:sz w:val="24"/>
          <w:szCs w:val="24"/>
        </w:rPr>
      </w:pPr>
    </w:p>
    <w:p w14:paraId="60E2E9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w:t>
      </w:r>
    </w:p>
    <w:p w14:paraId="6EC4AA8D">
      <w:pPr>
        <w:spacing w:beforeLines="0" w:afterLines="0"/>
        <w:rPr>
          <w:rFonts w:hint="default" w:ascii="Times New Roman CYR" w:hAnsi="Times New Roman CYR" w:eastAsia="Times New Roman CYR"/>
          <w:sz w:val="24"/>
          <w:szCs w:val="24"/>
        </w:rPr>
      </w:pPr>
    </w:p>
    <w:p w14:paraId="2B263444">
      <w:pPr>
        <w:spacing w:beforeLines="0" w:afterLines="0"/>
        <w:rPr>
          <w:rFonts w:hint="default" w:ascii="Times New Roman CYR" w:hAnsi="Times New Roman CYR" w:eastAsia="Times New Roman CYR"/>
          <w:sz w:val="24"/>
          <w:szCs w:val="24"/>
        </w:rPr>
      </w:pPr>
    </w:p>
    <w:p w14:paraId="4CDD307E">
      <w:pPr>
        <w:spacing w:beforeLines="0" w:afterLines="0"/>
        <w:jc w:val="left"/>
        <w:rPr>
          <w:rFonts w:hint="default" w:ascii="Times New Roman CYR" w:hAnsi="Times New Roman CYR" w:eastAsia="Times New Roman CYR"/>
          <w:sz w:val="24"/>
          <w:szCs w:val="24"/>
        </w:rPr>
      </w:pPr>
    </w:p>
    <w:p w14:paraId="7831508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396A6D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7078B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5E570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Грозний Юрiй Володимирович, 01.01.2025 - 31.12.2025</w:t>
            </w:r>
          </w:p>
        </w:tc>
      </w:tr>
      <w:tr w14:paraId="03FAAE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32810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D3580D">
            <w:pPr>
              <w:spacing w:beforeLines="0" w:afterLines="0"/>
              <w:jc w:val="left"/>
              <w:rPr>
                <w:rFonts w:hint="default" w:ascii="Times New Roman CYR" w:hAnsi="Times New Roman CYR" w:eastAsia="Times New Roman CYR"/>
                <w:sz w:val="24"/>
                <w:szCs w:val="24"/>
              </w:rPr>
            </w:pPr>
          </w:p>
        </w:tc>
      </w:tr>
      <w:tr w14:paraId="035F67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0A714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AC8B4B">
            <w:pPr>
              <w:spacing w:beforeLines="0" w:afterLines="0"/>
              <w:jc w:val="left"/>
              <w:rPr>
                <w:rFonts w:hint="default" w:ascii="Times New Roman CYR" w:hAnsi="Times New Roman CYR" w:eastAsia="Times New Roman CYR"/>
                <w:sz w:val="24"/>
                <w:szCs w:val="24"/>
              </w:rPr>
            </w:pPr>
          </w:p>
        </w:tc>
      </w:tr>
      <w:tr w14:paraId="249F7F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9AEF2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8901F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Ключовi рiшення Директора  товариства  - це стратегiчнi та оперативнi заходи, що забезпечують стабiльнiсть, розвиток та прибутковiсть товариства. Вони включають управлiння фiнансово-господарською дiяльнiстю, затвердження бюджетiв, кадровi змiни, iнвестицiйнi проєкти та заходи з безпеки. </w:t>
            </w:r>
          </w:p>
          <w:p w14:paraId="5A9ED80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Стратегiчнi та фiнансовi рiшення:</w:t>
            </w:r>
          </w:p>
          <w:p w14:paraId="30824A3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Заходи, запланованi на звiтний рiк для забезпечення стабiльного функцiонування товариства.</w:t>
            </w:r>
          </w:p>
          <w:p w14:paraId="11557AD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Затвердження заходiв з управлiння лiквiднiстю та зобов'язаннями.</w:t>
            </w:r>
          </w:p>
          <w:p w14:paraId="36AA99A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Управлiння активами та ризиками, фiнансове планування та бюджетування.</w:t>
            </w:r>
          </w:p>
          <w:p w14:paraId="785DBFB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Кадровi та соцiальнi рiшення:</w:t>
            </w:r>
          </w:p>
          <w:p w14:paraId="59A950D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Призначення або звiльнення працiвникiв та ключових менеджерiв.</w:t>
            </w:r>
          </w:p>
          <w:p w14:paraId="49A39D6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пов'язанi з оплатою працi та соцiальним забезпеченням працiвникiв товариства.</w:t>
            </w:r>
          </w:p>
          <w:p w14:paraId="2C0BD3F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Корпоративнi рiшення:</w:t>
            </w:r>
          </w:p>
          <w:p w14:paraId="0EF1304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Забезпечення виконання рiшень Наглядової ради.та загальних зборiв акцiонерiв</w:t>
            </w:r>
          </w:p>
        </w:tc>
      </w:tr>
      <w:tr w14:paraId="68A986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86810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7C8DD7">
            <w:pPr>
              <w:spacing w:beforeLines="0" w:afterLines="0"/>
              <w:jc w:val="left"/>
              <w:rPr>
                <w:rFonts w:hint="default" w:ascii="Times New Roman CYR" w:hAnsi="Times New Roman CYR" w:eastAsia="Times New Roman CYR"/>
                <w:sz w:val="24"/>
                <w:szCs w:val="24"/>
              </w:rPr>
            </w:pPr>
          </w:p>
        </w:tc>
      </w:tr>
      <w:tr w14:paraId="49E419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C879B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3849B9">
            <w:pPr>
              <w:spacing w:beforeLines="0" w:afterLines="0"/>
              <w:jc w:val="left"/>
              <w:rPr>
                <w:rFonts w:hint="default" w:ascii="Times New Roman CYR" w:hAnsi="Times New Roman CYR" w:eastAsia="Times New Roman CYR"/>
                <w:sz w:val="24"/>
                <w:szCs w:val="24"/>
              </w:rPr>
            </w:pPr>
          </w:p>
        </w:tc>
      </w:tr>
      <w:tr w14:paraId="6D81DB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F76EF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98B48B">
            <w:pPr>
              <w:spacing w:beforeLines="0" w:afterLines="0"/>
              <w:jc w:val="left"/>
              <w:rPr>
                <w:rFonts w:hint="default" w:ascii="Times New Roman CYR" w:hAnsi="Times New Roman CYR" w:eastAsia="Times New Roman CYR"/>
                <w:sz w:val="24"/>
                <w:szCs w:val="24"/>
              </w:rPr>
            </w:pPr>
          </w:p>
        </w:tc>
      </w:tr>
      <w:tr w14:paraId="4D9123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0872C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C4B2AA">
            <w:pPr>
              <w:spacing w:beforeLines="0" w:afterLines="0"/>
              <w:rPr>
                <w:rFonts w:hint="default" w:ascii="Times New Roman CYR" w:hAnsi="Times New Roman CYR" w:eastAsia="Times New Roman CYR"/>
                <w:sz w:val="22"/>
                <w:szCs w:val="24"/>
              </w:rPr>
            </w:pPr>
          </w:p>
        </w:tc>
      </w:tr>
      <w:tr w14:paraId="3EBCE7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AC283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131562">
            <w:pPr>
              <w:spacing w:beforeLines="0" w:afterLines="0"/>
              <w:jc w:val="left"/>
              <w:rPr>
                <w:rFonts w:hint="default" w:ascii="Times New Roman CYR" w:hAnsi="Times New Roman CYR" w:eastAsia="Times New Roman CYR"/>
                <w:sz w:val="24"/>
                <w:szCs w:val="24"/>
              </w:rPr>
            </w:pPr>
          </w:p>
        </w:tc>
      </w:tr>
      <w:tr w14:paraId="3B0584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415B2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6F6413">
            <w:pPr>
              <w:spacing w:beforeLines="0" w:afterLines="0"/>
              <w:jc w:val="left"/>
              <w:rPr>
                <w:rFonts w:hint="default" w:ascii="Times New Roman CYR" w:hAnsi="Times New Roman CYR" w:eastAsia="Times New Roman CYR"/>
                <w:sz w:val="24"/>
                <w:szCs w:val="24"/>
              </w:rPr>
            </w:pPr>
          </w:p>
        </w:tc>
      </w:tr>
      <w:tr w14:paraId="1AB88B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5EC62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ADD3C3">
            <w:pPr>
              <w:spacing w:beforeLines="0" w:afterLines="0"/>
              <w:jc w:val="left"/>
              <w:rPr>
                <w:rFonts w:hint="default" w:ascii="Times New Roman CYR" w:hAnsi="Times New Roman CYR" w:eastAsia="Times New Roman CYR"/>
                <w:sz w:val="24"/>
                <w:szCs w:val="24"/>
              </w:rPr>
            </w:pPr>
          </w:p>
        </w:tc>
      </w:tr>
    </w:tbl>
    <w:p w14:paraId="107D73AE">
      <w:pPr>
        <w:spacing w:beforeLines="0" w:afterLines="0"/>
        <w:jc w:val="left"/>
        <w:rPr>
          <w:rFonts w:hint="default" w:ascii="Times New Roman CYR" w:hAnsi="Times New Roman CYR" w:eastAsia="Times New Roman CYR"/>
          <w:sz w:val="24"/>
          <w:szCs w:val="24"/>
        </w:rPr>
      </w:pPr>
    </w:p>
    <w:p w14:paraId="7F4F6ED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768FE9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FC2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9F23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D345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E6B6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FF1E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657EC4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7C3A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C66F0B">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F3E180">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6D6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82,75</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E20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82,75</w:t>
            </w:r>
          </w:p>
        </w:tc>
      </w:tr>
    </w:tbl>
    <w:p w14:paraId="5339A7CA">
      <w:pPr>
        <w:spacing w:beforeLines="0" w:afterLines="0"/>
        <w:jc w:val="left"/>
        <w:rPr>
          <w:rFonts w:hint="default" w:ascii="Times New Roman CYR" w:hAnsi="Times New Roman CYR" w:eastAsia="Times New Roman CYR"/>
          <w:sz w:val="22"/>
          <w:szCs w:val="24"/>
        </w:rPr>
      </w:pPr>
    </w:p>
    <w:p w14:paraId="0BFFEE8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2) звіт про сталий розвиток</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
        <w:gridCol w:w="4700"/>
        <w:gridCol w:w="5000"/>
      </w:tblGrid>
      <w:tr w14:paraId="23CF1B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81BA3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F5CE51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Оцінка діяльності щодо захисту довкілля та соціальної відповідальності за звітний період:</w:t>
            </w:r>
          </w:p>
        </w:tc>
      </w:tr>
      <w:tr w14:paraId="63267C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056A16">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E462D3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своїй дiяльностi Товариство дотримується всiх вимог проєкту, санiтарних та будiвельних вимог, норм i правил, а також вимог в галузi охорони навколишнього середовища. Вживаються заходи з охорони навколишнього середовища. З кожним роком вимоги до еколого-економiчних аспектiв  стають бiльш актуальними i вимагають стратегiчного бачення та врахування екологiчного стану.</w:t>
            </w:r>
          </w:p>
          <w:p w14:paraId="739A4BC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Соцiальна вiдповiдальнiсть передбачає етичне ставлення до працiвникiв, партнерiв та довкiлля, спрямоване на сталий розвиток, формування позитивної репутацiї та довгострокове зростання Товариства. </w:t>
            </w:r>
          </w:p>
        </w:tc>
      </w:tr>
      <w:tr w14:paraId="4067E5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6ED15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1A30A7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14:paraId="7AF33A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90926D">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AEB5F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4D52B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Екологiчнi ризики - це ймовiрнiсть негативних змiн у навколишньому середовищi або довгостроковi несприятливi наслiдки, спричиненi людською дiяльнiстю, техногенними аварiями чи природними катастрофами. </w:t>
            </w:r>
          </w:p>
          <w:p w14:paraId="5EE08E0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Екологiчнi ризики в будiвництвi включають забруднення повiтря, води та грунту, утворення великої кiлькостi вiдходiв, шумове забруднення та знищення бiорiзноманiття. Основнi загрози пов'язанi з  викидами будiвельної технiки, використанням токсичних матерiалiв та енергоємною експлуатацiєю будiвель, що потребує впровадження "зелених" стандартiв.</w:t>
            </w:r>
          </w:p>
        </w:tc>
      </w:tr>
      <w:tr w14:paraId="212D23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08B7D0">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0AF50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82E88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Для зменшення негативного впливу на довкiлля застосовуються практики "зеленого будiвництва", якi передбачають використання екологiчних матерiалiв, енергоефективнi технологiї, переробку вiдходiв.</w:t>
            </w:r>
          </w:p>
        </w:tc>
      </w:tr>
      <w:tr w14:paraId="1AA285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4075D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D0DBFD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положення політики з питань захисту довкілля та соціальної відповідальності:</w:t>
            </w:r>
          </w:p>
        </w:tc>
      </w:tr>
      <w:tr w14:paraId="4DF6E7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66A5F1">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57C34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EE4BF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Полiтика з питань захисту довкiлля та соцiальної вiдповiдальностi не приймалась.</w:t>
            </w:r>
          </w:p>
        </w:tc>
      </w:tr>
      <w:tr w14:paraId="5B149B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43A51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09B46F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14:paraId="1755B3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6BC5B0">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E6E37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9CB55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Питання щодо захисту довкiлля та соцiальної вiдповiдальностi Директором не розглядались.</w:t>
            </w:r>
          </w:p>
        </w:tc>
      </w:tr>
      <w:tr w14:paraId="209D76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F4131E">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EF8F0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Перелік питань, які розглядались радою та короткий зміст рішень, які було прийнято:</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C52DE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Питання щодо захисту довкiлля та соцiальної вiдповiдальностi Наглядовою радою не розглядались.</w:t>
            </w:r>
          </w:p>
        </w:tc>
      </w:tr>
      <w:tr w14:paraId="65C5F40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301B5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D2C05D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14:paraId="6841DC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7A91A6">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B88B15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Iнформацiї щодо впливу дiяльностi особи на стейкхолдерiв Товариство не має. </w:t>
            </w:r>
          </w:p>
        </w:tc>
      </w:tr>
      <w:tr w14:paraId="785B7E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5EC0A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FB22D8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14:paraId="1C75DA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583E9C">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4285EA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стейкхолдерiв, якi мають вплив на досягнення стратегiчних цiлей, вiдсутня.</w:t>
            </w:r>
          </w:p>
        </w:tc>
      </w:tr>
      <w:tr w14:paraId="2D90A2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A94B6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570FB2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положення політики щодо взаємодії зі стейкхолдерами, у тому числі акціонерами/учасниками:</w:t>
            </w:r>
          </w:p>
        </w:tc>
      </w:tr>
      <w:tr w14:paraId="01E537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C899C4">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D7119D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Полiтика щодо взаємодiї зi стейкхолдерами вiдсутня.</w:t>
            </w:r>
          </w:p>
        </w:tc>
      </w:tr>
    </w:tbl>
    <w:p w14:paraId="62F0AE53">
      <w:pPr>
        <w:spacing w:beforeLines="0" w:afterLines="0"/>
        <w:jc w:val="left"/>
        <w:rPr>
          <w:rFonts w:hint="default" w:ascii="Times New Roman CYR" w:hAnsi="Times New Roman CYR" w:eastAsia="Times New Roman CYR"/>
          <w:sz w:val="24"/>
          <w:szCs w:val="24"/>
        </w:rPr>
      </w:pPr>
    </w:p>
    <w:p w14:paraId="0085923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360D2E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519D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9C6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642D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224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46C0AA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380F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E50A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3C4F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8CE4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431419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A5D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33B7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87F8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1. ЗАГАЛЬНI ПОЛОЖЕННЯ. 2. МЕТА ТА ПРЕДМЕТ ДIЯЛЬНОСТI ТОВАРИСТВА. 3. ЮРИДИЧНИЙ СТАТУС ТОВАРИСТВА. 4. МАЙНО ТОВАРИСТВА. 5. АКЦIОНЕРИ (ЗАСНОВНИКИ) ТОВАРИСТВА. 6. СТАТУТНИЙ КАПIТАЛ ТА АКЦIЇ ТОВАРИСТВА. 7. ПОРЯДОК ВIДЧУЖЕННЯ АКЦIЙ ТОВАРИСТВА. </w:t>
            </w:r>
          </w:p>
          <w:p w14:paraId="74CA237F">
            <w:pPr>
              <w:spacing w:beforeLines="0" w:afterLines="0"/>
              <w:jc w:val="center"/>
              <w:rPr>
                <w:rFonts w:hint="default" w:ascii="Times New Roman CYR" w:hAnsi="Times New Roman CYR" w:eastAsia="Times New Roman CYR"/>
                <w:sz w:val="22"/>
                <w:szCs w:val="24"/>
              </w:rPr>
            </w:pPr>
          </w:p>
          <w:p w14:paraId="291F24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ПОРЯДОК РОЗПОДIЛУ ПРИБУТКУ ТА ДИВIДЕНДИ. 9. ОРГАНИ УПРАВЛIННЯ ТОВАРИСТВОМ. 10. ЗАГАЛЬНI ЗБОРИ.  11. НАГЛЯДОВА РАДА АКЦIОНЕРНОГО ТОВАРИСТВА. 12. ВИКОНАВЧИЙ ОРГАН. 13. КОРПОРАТИВНИЙ СЕКРЕТАР. 14. ПРИДБАННЯ ПАКЕТУ АКЦIЙ ТОВАРИСТВА. 15. ЗНАЧНI ПРАВОЧИНИ. 16. ГОСПОДАРСЬКА ТА ЗОВНIШНЬОЕКОНОМIЧНА ДIЯЛЬНIСТЬ ТОВАРИСТВА. 17. ОРГАНIЗАЦIЯ ТА ОПЛАТА ПРАЦI. ПРАЦIВНИКIВ ТОВАРИСТВА. 18. ОБЛIК ТА ЗВIТНIСТЬ ТОВАРИСТВА. IНФОРМАЦIЯ ПРО ТОВАРИСТВО. 19. ПЕРЕВIРКА ФIНАНСОВО ГОПОДАРСЬКОЇ ДIЯЛЬНОСТI ТОВАРИСТВА. 20.ПРИПИНЕННЯ ДIЯЛЬНОСТI ТОВАРИСТВА. 21.ПРИПИНЕННЯ ДIЯЛЬНОСТI ТОВАРИСТВА.</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FB8B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http://ksm.emitents.net.ua/ua/docs/?fg_id=102</w:t>
            </w:r>
          </w:p>
        </w:tc>
      </w:tr>
    </w:tbl>
    <w:p w14:paraId="15725149">
      <w:pPr>
        <w:spacing w:beforeLines="0" w:afterLines="0"/>
        <w:jc w:val="left"/>
        <w:rPr>
          <w:rFonts w:hint="default" w:ascii="Times New Roman CYR" w:hAnsi="Times New Roman CYR" w:eastAsia="Times New Roman CYR"/>
          <w:sz w:val="22"/>
          <w:szCs w:val="24"/>
        </w:rPr>
      </w:pPr>
    </w:p>
    <w:p w14:paraId="7900239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VI. Список посилань на регульовану інформацію, яка була розкрита протягом звітного року</w:t>
      </w:r>
    </w:p>
    <w:p w14:paraId="2EB36BF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Особлива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1500"/>
        <w:gridCol w:w="5500"/>
      </w:tblGrid>
      <w:tr w14:paraId="128031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89BD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F155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особливої інформації</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766F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розкриття інформації</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ADD3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URL-адреси, за якими розміщена інформація, яка розкривалася протягом звітного року</w:t>
            </w:r>
          </w:p>
        </w:tc>
      </w:tr>
      <w:tr w14:paraId="6EE14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DAF3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8AD3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274E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4126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1E6E44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480616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30526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Відомості про зміну складу посадових осіб емітента</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5A51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02.05.2025</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10B4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http://ksm.kiev.ua/documents.html</w:t>
            </w:r>
          </w:p>
        </w:tc>
      </w:tr>
    </w:tbl>
    <w:p w14:paraId="3FB2921F">
      <w:pPr>
        <w:spacing w:beforeLines="0" w:afterLines="0"/>
        <w:jc w:val="left"/>
        <w:rPr>
          <w:rFonts w:hint="default" w:ascii="Times New Roman CYR" w:hAnsi="Times New Roman CYR" w:eastAsia="Times New Roman CYR"/>
          <w:sz w:val="22"/>
          <w:szCs w:val="24"/>
        </w:rPr>
      </w:pPr>
    </w:p>
    <w:p w14:paraId="77F9C8A9">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66"/>
        <w:gridCol w:w="1654"/>
        <w:gridCol w:w="1720"/>
      </w:tblGrid>
      <w:tr w14:paraId="54E5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280" w:type="dxa"/>
          <w:trHeight w:val="300" w:hRule="atLeast"/>
        </w:trPr>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A913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6CC5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26" w:type="dxa"/>
          <w:trHeight w:val="300" w:hRule="atLeast"/>
        </w:trPr>
        <w:tc>
          <w:tcPr>
            <w:tcW w:w="1654" w:type="dxa"/>
            <w:tcBorders>
              <w:top w:val="nil"/>
              <w:left w:val="nil"/>
              <w:bottom w:val="nil"/>
              <w:right w:val="single" w:color="auto" w:sz="6" w:space="0"/>
              <w:tl2br w:val="nil"/>
              <w:tr2bl w:val="nil"/>
            </w:tcBorders>
            <w:noWrap w:val="0"/>
            <w:vAlign w:val="center"/>
          </w:tcPr>
          <w:p w14:paraId="6220C57C">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6A77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01.01.2026</w:t>
            </w:r>
          </w:p>
        </w:tc>
      </w:tr>
      <w:tr w14:paraId="382B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09BBD7A6">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66" w:type="dxa"/>
            <w:tcBorders>
              <w:top w:val="nil"/>
              <w:left w:val="nil"/>
              <w:bottom w:val="nil"/>
              <w:right w:val="nil"/>
              <w:tl2br w:val="nil"/>
              <w:tr2bl w:val="nil"/>
            </w:tcBorders>
            <w:noWrap w:val="0"/>
            <w:vAlign w:val="center"/>
          </w:tcPr>
          <w:p w14:paraId="67FDEA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654" w:type="dxa"/>
            <w:tcBorders>
              <w:top w:val="nil"/>
              <w:left w:val="nil"/>
              <w:bottom w:val="nil"/>
              <w:right w:val="single" w:color="auto" w:sz="6" w:space="0"/>
              <w:tl2br w:val="nil"/>
              <w:tr2bl w:val="nil"/>
            </w:tcBorders>
            <w:noWrap w:val="0"/>
            <w:vAlign w:val="center"/>
          </w:tcPr>
          <w:p w14:paraId="1F3B7490">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EF7A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r w14:paraId="4A54C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599F4D08">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66" w:type="dxa"/>
            <w:tcBorders>
              <w:top w:val="nil"/>
              <w:left w:val="nil"/>
              <w:bottom w:val="nil"/>
              <w:right w:val="nil"/>
              <w:tl2br w:val="nil"/>
              <w:tr2bl w:val="nil"/>
            </w:tcBorders>
            <w:noWrap w:val="0"/>
            <w:vAlign w:val="center"/>
          </w:tcPr>
          <w:p w14:paraId="68137C1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м.Київ</w:t>
            </w:r>
          </w:p>
        </w:tc>
        <w:tc>
          <w:tcPr>
            <w:tcW w:w="1654" w:type="dxa"/>
            <w:tcBorders>
              <w:top w:val="nil"/>
              <w:left w:val="nil"/>
              <w:bottom w:val="nil"/>
              <w:right w:val="single" w:color="auto" w:sz="6" w:space="0"/>
              <w:tl2br w:val="nil"/>
              <w:tr2bl w:val="nil"/>
            </w:tcBorders>
            <w:noWrap w:val="0"/>
            <w:vAlign w:val="center"/>
          </w:tcPr>
          <w:p w14:paraId="7BEECB8F">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2402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UA80000000000624772</w:t>
            </w:r>
          </w:p>
        </w:tc>
      </w:tr>
      <w:tr w14:paraId="2746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0F11ECEF">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66" w:type="dxa"/>
            <w:tcBorders>
              <w:top w:val="nil"/>
              <w:left w:val="nil"/>
              <w:bottom w:val="nil"/>
              <w:right w:val="nil"/>
              <w:tl2br w:val="nil"/>
              <w:tr2bl w:val="nil"/>
            </w:tcBorders>
            <w:noWrap w:val="0"/>
            <w:vAlign w:val="center"/>
          </w:tcPr>
          <w:p w14:paraId="7C1EB39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c>
          <w:tcPr>
            <w:tcW w:w="1654" w:type="dxa"/>
            <w:tcBorders>
              <w:top w:val="nil"/>
              <w:left w:val="nil"/>
              <w:bottom w:val="nil"/>
              <w:right w:val="single" w:color="auto" w:sz="6" w:space="0"/>
              <w:tl2br w:val="nil"/>
              <w:tr2bl w:val="nil"/>
            </w:tcBorders>
            <w:noWrap w:val="0"/>
            <w:vAlign w:val="center"/>
          </w:tcPr>
          <w:p w14:paraId="343862C9">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5057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w:t>
            </w:r>
          </w:p>
        </w:tc>
      </w:tr>
      <w:tr w14:paraId="4BEA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7E48C549">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66" w:type="dxa"/>
            <w:tcBorders>
              <w:top w:val="nil"/>
              <w:left w:val="nil"/>
              <w:bottom w:val="nil"/>
              <w:right w:val="nil"/>
              <w:tl2br w:val="nil"/>
              <w:tr2bl w:val="nil"/>
            </w:tcBorders>
            <w:noWrap w:val="0"/>
            <w:vAlign w:val="center"/>
          </w:tcPr>
          <w:p w14:paraId="7625743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Монтаж водопровідних мереж, систем опалення та кондиціонування</w:t>
            </w:r>
          </w:p>
        </w:tc>
        <w:tc>
          <w:tcPr>
            <w:tcW w:w="1654" w:type="dxa"/>
            <w:tcBorders>
              <w:top w:val="nil"/>
              <w:left w:val="nil"/>
              <w:bottom w:val="nil"/>
              <w:right w:val="single" w:color="auto" w:sz="6" w:space="0"/>
              <w:tl2br w:val="nil"/>
              <w:tr2bl w:val="nil"/>
            </w:tcBorders>
            <w:noWrap w:val="0"/>
            <w:vAlign w:val="center"/>
          </w:tcPr>
          <w:p w14:paraId="1130D169">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334B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43.22</w:t>
            </w:r>
          </w:p>
        </w:tc>
      </w:tr>
    </w:tbl>
    <w:p w14:paraId="0822FE9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w:t>
      </w:r>
      <w:r>
        <w:rPr>
          <w:rFonts w:hint="default" w:ascii="Times New Roman CYR" w:hAnsi="Times New Roman CYR" w:eastAsia="Times New Roman CYR"/>
          <w:sz w:val="22"/>
          <w:szCs w:val="24"/>
        </w:rPr>
        <w:t>30</w:t>
      </w:r>
    </w:p>
    <w:p w14:paraId="5AC229E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01010 Київ, вул. Левандовська, буд. 3-Б, +38(044)294-67-77</w:t>
      </w:r>
    </w:p>
    <w:p w14:paraId="77664E1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без десяткового знака</w:t>
      </w:r>
    </w:p>
    <w:p w14:paraId="7BAE4EE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Складено </w:t>
      </w:r>
      <w:r>
        <w:rPr>
          <w:rFonts w:hint="default" w:ascii="Times New Roman CYR" w:hAnsi="Times New Roman CYR" w:eastAsia="Times New Roman CYR"/>
          <w:sz w:val="22"/>
          <w:szCs w:val="24"/>
        </w:rPr>
        <w:t>(зробити позначку "v" у відповідній клітинці):</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80"/>
        <w:gridCol w:w="1720"/>
      </w:tblGrid>
      <w:tr w14:paraId="7F8E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8280" w:type="dxa"/>
            <w:vMerge w:val="restart"/>
            <w:tcBorders>
              <w:top w:val="nil"/>
              <w:left w:val="nil"/>
              <w:bottom w:val="nil"/>
              <w:right w:val="nil"/>
              <w:tl2br w:val="nil"/>
              <w:tr2bl w:val="nil"/>
            </w:tcBorders>
            <w:noWrap w:val="0"/>
            <w:vAlign w:val="center"/>
          </w:tcPr>
          <w:p w14:paraId="0DF4125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національними положеннями (стандартами) бухгалтерського обліку</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2B103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v</w:t>
            </w:r>
          </w:p>
        </w:tc>
      </w:tr>
      <w:tr w14:paraId="162E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8280" w:type="dxa"/>
            <w:tcBorders>
              <w:top w:val="nil"/>
              <w:left w:val="nil"/>
              <w:bottom w:val="nil"/>
              <w:right w:val="nil"/>
              <w:tl2br w:val="nil"/>
              <w:tr2bl w:val="nil"/>
            </w:tcBorders>
            <w:noWrap w:val="0"/>
            <w:vAlign w:val="center"/>
          </w:tcPr>
          <w:p w14:paraId="4CD1460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міжнародними стандартами фінансової звітності</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15CF1B">
            <w:pPr>
              <w:spacing w:beforeLines="0" w:afterLines="0"/>
              <w:jc w:val="left"/>
              <w:rPr>
                <w:rFonts w:hint="default" w:ascii="Times New Roman CYR" w:hAnsi="Times New Roman CYR" w:eastAsia="Times New Roman CYR"/>
                <w:sz w:val="22"/>
                <w:szCs w:val="24"/>
              </w:rPr>
            </w:pPr>
          </w:p>
        </w:tc>
      </w:tr>
    </w:tbl>
    <w:p w14:paraId="415C044F">
      <w:pPr>
        <w:spacing w:beforeLines="0" w:afterLines="0"/>
        <w:jc w:val="left"/>
        <w:rPr>
          <w:rFonts w:hint="default" w:ascii="Times New Roman CYR" w:hAnsi="Times New Roman CYR" w:eastAsia="Times New Roman CYR"/>
          <w:sz w:val="24"/>
          <w:szCs w:val="24"/>
        </w:rPr>
      </w:pPr>
    </w:p>
    <w:p w14:paraId="40616548">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Баланс</w:t>
      </w:r>
    </w:p>
    <w:p w14:paraId="28FF29B4">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фінансовий стан)</w:t>
      </w:r>
    </w:p>
    <w:p w14:paraId="3E6983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4"/>
          <w:szCs w:val="24"/>
        </w:rPr>
        <w:t>на 31.12.2025 p.</w:t>
      </w:r>
    </w:p>
    <w:p w14:paraId="3FA178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524"/>
        <w:gridCol w:w="1205"/>
        <w:gridCol w:w="296"/>
        <w:gridCol w:w="1349"/>
      </w:tblGrid>
      <w:tr w14:paraId="486F69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150" w:type="dxa"/>
          <w:trHeight w:val="280" w:hRule="atLeast"/>
        </w:trPr>
        <w:tc>
          <w:tcPr>
            <w:tcW w:w="1501" w:type="dxa"/>
            <w:gridSpan w:val="2"/>
            <w:tcBorders>
              <w:top w:val="nil"/>
              <w:left w:val="nil"/>
              <w:bottom w:val="nil"/>
              <w:right w:val="single" w:color="auto" w:sz="6" w:space="0"/>
              <w:tl2br w:val="nil"/>
              <w:tr2bl w:val="nil"/>
            </w:tcBorders>
            <w:noWrap w:val="0"/>
            <w:vAlign w:val="center"/>
          </w:tcPr>
          <w:p w14:paraId="4A661695">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349" w:type="dxa"/>
            <w:tcBorders>
              <w:top w:val="single" w:color="auto" w:sz="6" w:space="0"/>
              <w:left w:val="single" w:color="auto" w:sz="6" w:space="0"/>
              <w:bottom w:val="single" w:color="auto" w:sz="6" w:space="0"/>
              <w:right w:val="single" w:color="auto" w:sz="6" w:space="0"/>
              <w:tl2br w:val="nil"/>
              <w:tr2bl w:val="nil"/>
            </w:tcBorders>
            <w:noWrap w:val="0"/>
            <w:vAlign w:val="top"/>
          </w:tcPr>
          <w:p w14:paraId="20DAF303">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1801001</w:t>
            </w:r>
          </w:p>
        </w:tc>
      </w:tr>
      <w:tr w14:paraId="164752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35796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AED33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D0107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періоду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84712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6E1090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E083B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E7E50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F6CEC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36C9A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F3B7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246B35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7EE7878">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24C9617">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67B2796">
            <w:pPr>
              <w:spacing w:beforeLines="0" w:afterLines="0"/>
              <w:jc w:val="left"/>
              <w:rPr>
                <w:rFonts w:hint="default" w:ascii="Times New Roman CYR" w:hAnsi="Times New Roman CYR" w:eastAsia="Times New Roman CYR"/>
                <w:sz w:val="22"/>
                <w:szCs w:val="24"/>
              </w:rPr>
            </w:pPr>
          </w:p>
        </w:tc>
      </w:tr>
      <w:tr w14:paraId="6E1C25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C5CE4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Нематеріальні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00CD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9F0F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0340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w:t>
            </w:r>
          </w:p>
        </w:tc>
      </w:tr>
      <w:tr w14:paraId="536F64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6253D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5A81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50FF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348D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99</w:t>
            </w:r>
          </w:p>
        </w:tc>
      </w:tr>
      <w:tr w14:paraId="4B0279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FE1CC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накопичена амортизація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DE9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68C3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( 65 )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503A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( 49 )</w:t>
            </w:r>
          </w:p>
        </w:tc>
      </w:tr>
      <w:tr w14:paraId="647687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C38F9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Незавершені капітальні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432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E815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F72D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D104C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41230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94B1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2DC4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19 850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2E87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17 807</w:t>
            </w:r>
          </w:p>
        </w:tc>
      </w:tr>
      <w:tr w14:paraId="2E8D14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350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3A1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E4CF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37 856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0398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37 411</w:t>
            </w:r>
          </w:p>
        </w:tc>
      </w:tr>
      <w:tr w14:paraId="07DEFF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9F10C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7DC2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13AD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( 18 006 )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8C91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( 19 604 )</w:t>
            </w:r>
          </w:p>
        </w:tc>
      </w:tr>
      <w:tr w14:paraId="2F8CA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61DC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Інвестиційна нерухомість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4097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F022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0D68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304AF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231A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7D30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CF7D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5725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184CF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04DF4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2646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1017</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B0F3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CF62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08CC2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5A6E1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біологічні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1F18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7944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148A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BFB9D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C9EE3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E4E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1021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605A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9D73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05542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1C1B3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накопичена амортизація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73C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1022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45DF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1726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2CA55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ABD31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фінансові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2A1ED">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8FD21F">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200BA6">
            <w:pPr>
              <w:spacing w:beforeLines="0" w:afterLines="0"/>
              <w:jc w:val="left"/>
              <w:rPr>
                <w:rFonts w:hint="default" w:ascii="Times New Roman CYR" w:hAnsi="Times New Roman CYR" w:eastAsia="Times New Roman CYR"/>
                <w:sz w:val="22"/>
                <w:szCs w:val="24"/>
              </w:rPr>
            </w:pPr>
          </w:p>
        </w:tc>
      </w:tr>
      <w:tr w14:paraId="19A760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2498B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які обліковуються за методом участі в капіталі інших підприємств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4CD3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BF3B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A70A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77F3B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6BFF5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 фінансові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A888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4532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72D0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7308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FF6F3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BF1A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5667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5 066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5EC0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4 967</w:t>
            </w:r>
          </w:p>
        </w:tc>
      </w:tr>
      <w:tr w14:paraId="70EF0C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68620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податкові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764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63E4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6E84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C13B1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579D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Гудвіл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600D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B33E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1A97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4654A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BC223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аквізиційні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8CCA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CC30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B5C0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D8ED0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A655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Залишок коштів у централізованих страхових резервних фондах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14A4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321F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0B80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20D07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7606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E4AB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9DBF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2 230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16F3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2 294</w:t>
            </w:r>
          </w:p>
        </w:tc>
      </w:tr>
      <w:tr w14:paraId="19263D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035CC8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D413E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08DAD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27 200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6164B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25 118</w:t>
            </w:r>
          </w:p>
        </w:tc>
      </w:tr>
      <w:tr w14:paraId="3CC7DA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F47573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E6F6B8B">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BAE5DD9">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0675CA8">
            <w:pPr>
              <w:spacing w:beforeLines="0" w:afterLines="0"/>
              <w:jc w:val="center"/>
              <w:rPr>
                <w:rFonts w:hint="default" w:ascii="Times New Roman CYR" w:hAnsi="Times New Roman CYR" w:eastAsia="Times New Roman CYR"/>
                <w:sz w:val="22"/>
                <w:szCs w:val="24"/>
              </w:rPr>
            </w:pPr>
          </w:p>
        </w:tc>
      </w:tr>
      <w:tr w14:paraId="70F632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9254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71F0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864F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8 330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F812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8 737</w:t>
            </w:r>
          </w:p>
        </w:tc>
      </w:tr>
      <w:tr w14:paraId="231166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C30C8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Виробничі 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BC8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3D85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5 904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B8E4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7 401</w:t>
            </w:r>
          </w:p>
        </w:tc>
      </w:tr>
      <w:tr w14:paraId="0C7F9E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C6CC6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Незавершене виробництво</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9455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D100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7F3A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261</w:t>
            </w:r>
          </w:p>
        </w:tc>
      </w:tr>
      <w:tr w14:paraId="5E7366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AEB47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Готова продукція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C66A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A47C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1 580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9194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1 075</w:t>
            </w:r>
          </w:p>
        </w:tc>
      </w:tr>
      <w:tr w14:paraId="50AB85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523C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Товари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44B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1104</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345C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2891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6A52F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9842A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Поточні біологічні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CC93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B026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BC3D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F2688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79F6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Депозити перестрахування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C56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C3A9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3143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152B7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C1EC1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Векселі одержані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9A58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1BE1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2A33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F64A2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9CCF0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Дебіторська заборгованість за продукцію,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B549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1125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34A8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8 425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2704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2 670</w:t>
            </w:r>
          </w:p>
        </w:tc>
      </w:tr>
      <w:tr w14:paraId="6E94B3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5F1A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Дебіторська заборгованість за розрахунками: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ACB9F7">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939B4B">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88E3F8">
            <w:pPr>
              <w:spacing w:beforeLines="0" w:afterLines="0"/>
              <w:jc w:val="left"/>
              <w:rPr>
                <w:rFonts w:hint="default" w:ascii="Times New Roman CYR" w:hAnsi="Times New Roman CYR" w:eastAsia="Times New Roman CYR"/>
                <w:sz w:val="22"/>
                <w:szCs w:val="24"/>
              </w:rPr>
            </w:pPr>
          </w:p>
        </w:tc>
      </w:tr>
      <w:tr w14:paraId="0AA17B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C3F2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за виданими авансами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C679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FF60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17 405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EA14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17 354</w:t>
            </w:r>
          </w:p>
        </w:tc>
      </w:tr>
      <w:tr w14:paraId="74E06C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20CE4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2DEB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A2E6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B6AA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210</w:t>
            </w:r>
          </w:p>
        </w:tc>
      </w:tr>
      <w:tr w14:paraId="3A35F0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EB629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у тому числі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971E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1136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035D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A6CB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0A963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1FA2D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 нарахованих доходів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2B2A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8637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865C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7B7B0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BAD8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із внутрішніх розрахунків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CFF4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2FF4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4056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958BD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C9834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Інша 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1BE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FA0B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481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8D89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418</w:t>
            </w:r>
          </w:p>
        </w:tc>
      </w:tr>
      <w:tr w14:paraId="525F98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C54F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Поточні фінансові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D349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12DD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1F76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F0D4F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432C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F322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0DC3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2 794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2879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9 718</w:t>
            </w:r>
          </w:p>
        </w:tc>
      </w:tr>
      <w:tr w14:paraId="700CA3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6A8D7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Готівка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E5E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C6D0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6441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DF9AB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4A2E8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Рахунки в банках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8995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1167</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CF03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F064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963A5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4DE50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майбутніх періодів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4242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D11B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6B8D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w:t>
            </w:r>
          </w:p>
        </w:tc>
      </w:tr>
      <w:tr w14:paraId="553C75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FD8C0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перестраховика у страхових резервах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438B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4468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39D7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37841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498DC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 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2445FA">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12868D">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FF95E6">
            <w:pPr>
              <w:spacing w:beforeLines="0" w:afterLines="0"/>
              <w:jc w:val="left"/>
              <w:rPr>
                <w:rFonts w:hint="default" w:ascii="Times New Roman CYR" w:hAnsi="Times New Roman CYR" w:eastAsia="Times New Roman CYR"/>
                <w:sz w:val="22"/>
                <w:szCs w:val="24"/>
              </w:rPr>
            </w:pPr>
          </w:p>
        </w:tc>
      </w:tr>
      <w:tr w14:paraId="434531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BCEFA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резервах довгострокових зобов’язань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984F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1ABA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B6BC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F9BD7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ADD9C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резервах збитків або резервах належних виплат</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8AE1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E6A0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AB42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0C620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7DBDA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резервах незароблених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EDB3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DCF3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F867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B2FA6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E6D0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інших страхових резервах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B75C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1184</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85CD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FCCF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6A678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BF22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5A8F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CD9A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1 172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F04F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1 123</w:t>
            </w:r>
          </w:p>
        </w:tc>
      </w:tr>
      <w:tr w14:paraId="57CC18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187FB2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EFE03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54160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38 828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93E19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40 292</w:t>
            </w:r>
          </w:p>
        </w:tc>
      </w:tr>
      <w:tr w14:paraId="084DC1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4DC934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III. Необоротні активи, утримувані для продажу, та групи вибуття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D3CCF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5AEBA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B3218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AB25D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6B9E3A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3CB63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F5554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66 028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2BE4A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65 410</w:t>
            </w:r>
          </w:p>
        </w:tc>
      </w:tr>
    </w:tbl>
    <w:p w14:paraId="2993FE42">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5939DC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C6212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36475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816B8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періоду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7AAA5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5BE842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DDE4D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74062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FD593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B7F99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4A2B45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9C9AAB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4F95637">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C979D04">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DD33ECA">
            <w:pPr>
              <w:spacing w:beforeLines="0" w:afterLines="0"/>
              <w:jc w:val="center"/>
              <w:rPr>
                <w:rFonts w:hint="default" w:ascii="Times New Roman CYR" w:hAnsi="Times New Roman CYR" w:eastAsia="Times New Roman CYR"/>
                <w:sz w:val="22"/>
                <w:szCs w:val="24"/>
              </w:rPr>
            </w:pPr>
          </w:p>
        </w:tc>
      </w:tr>
      <w:tr w14:paraId="75F10A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D9269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Зареєстрований (пайовий)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063E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ABEE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F27E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3E594C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56C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Внески до незареєстрованого статутного капіталу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057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185C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1949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FE7CE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F1965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 у дооцінках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1A20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8DED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7DBF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9027F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9A85D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44FA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73CE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8A2F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r>
      <w:tr w14:paraId="29F9FF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C05B8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Емісійний дохід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0E9C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655C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B2D8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482F4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889BA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Накопичені курсові різниці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60FE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1412</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F6CC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071E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78783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F825E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Резервний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C317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252D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A663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r>
      <w:tr w14:paraId="4BC008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7277E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D352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0E2D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54 610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E41A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54 607</w:t>
            </w:r>
          </w:p>
        </w:tc>
      </w:tr>
      <w:tr w14:paraId="02C48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A1A2E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F487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95C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43B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51FB4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BDF16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Вилучений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02B2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712C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38C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AB595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17747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резерви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DD4B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1435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8FED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DAC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1F086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2B042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027A7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B811F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55 945</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178F5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55 942</w:t>
            </w:r>
          </w:p>
        </w:tc>
      </w:tr>
      <w:tr w14:paraId="335575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AFFE84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II. Довгострокові зобов’язання 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BC40640">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5F3E7F5">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0AF8D2B">
            <w:pPr>
              <w:spacing w:beforeLines="0" w:afterLines="0"/>
              <w:jc w:val="center"/>
              <w:rPr>
                <w:rFonts w:hint="default" w:ascii="Times New Roman CYR" w:hAnsi="Times New Roman CYR" w:eastAsia="Times New Roman CYR"/>
                <w:sz w:val="22"/>
                <w:szCs w:val="24"/>
              </w:rPr>
            </w:pPr>
          </w:p>
        </w:tc>
      </w:tr>
      <w:tr w14:paraId="692BB8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7F80F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податкові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C6BD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EC1A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984A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03EE4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6A1A9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Пенсійні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F480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FBAB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CD86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DFA91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B13AE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2C21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90EC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BCDE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B00A0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F518D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довгострокові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90B8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7FA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92D5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E8E18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B8CFC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4FC5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A837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790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E3D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1 115</w:t>
            </w:r>
          </w:p>
        </w:tc>
      </w:tr>
      <w:tr w14:paraId="7FA16F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42FF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забезпечення витрат персоналу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D437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F50F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65FA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4C35D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CFEF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Цільове фінансування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405A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D03B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D937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33A8A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06582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Благодійна допомога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46B9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1526</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8B1F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A19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5B3F7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BEA6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Страхові резерви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3D6E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F2FE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A67A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1588B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B1FEE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9AD89D">
            <w:pPr>
              <w:spacing w:beforeLines="0" w:afterLines="0"/>
              <w:jc w:val="left"/>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5308A9">
            <w:pPr>
              <w:spacing w:beforeLines="0" w:afterLines="0"/>
              <w:jc w:val="left"/>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A1949D">
            <w:pPr>
              <w:spacing w:beforeLines="0" w:afterLines="0"/>
              <w:jc w:val="left"/>
              <w:rPr>
                <w:rFonts w:hint="default" w:ascii="Times New Roman CYR" w:hAnsi="Times New Roman CYR" w:eastAsia="Times New Roman CYR"/>
                <w:sz w:val="22"/>
                <w:szCs w:val="24"/>
              </w:rPr>
            </w:pPr>
          </w:p>
        </w:tc>
      </w:tr>
      <w:tr w14:paraId="562F82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1A002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 довгострокових зобов’язань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1B05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FEC7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14A7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3AC9B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6A075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 збитків або резерв належних виплат</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5530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1532</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61C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ED18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A032D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7FDDC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 незароблених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64DE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1533</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6F11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E6C0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40453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DE4B2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 страхові резерви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861F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1534</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70C9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8D6D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A9BB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75AA8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Інвестиційні контракти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C6D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FFFB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79C9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EB299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6211E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Призовий фонд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EF7C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1540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3E34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FEBF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D8837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6BAD6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Резерв на виплату джек-поту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D5F7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1545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6E00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FF27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AD7E2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1B599B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8409C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96A05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790</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26089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1 115</w:t>
            </w:r>
          </w:p>
        </w:tc>
      </w:tr>
      <w:tr w14:paraId="094040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0CA261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IІІ. Поточні зобов’язання 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212D972">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C788073">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A9BD09B">
            <w:pPr>
              <w:spacing w:beforeLines="0" w:afterLines="0"/>
              <w:jc w:val="center"/>
              <w:rPr>
                <w:rFonts w:hint="default" w:ascii="Times New Roman CYR" w:hAnsi="Times New Roman CYR" w:eastAsia="Times New Roman CYR"/>
                <w:sz w:val="22"/>
                <w:szCs w:val="24"/>
              </w:rPr>
            </w:pPr>
          </w:p>
        </w:tc>
      </w:tr>
      <w:tr w14:paraId="7C5107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9D3CC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200A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08C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C3C7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A16DB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55BCF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Векселі видані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E3B7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992D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C561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4393A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A140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FB5591">
            <w:pPr>
              <w:spacing w:beforeLines="0" w:afterLines="0"/>
              <w:jc w:val="left"/>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2372C">
            <w:pPr>
              <w:spacing w:beforeLines="0" w:afterLines="0"/>
              <w:jc w:val="left"/>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C30A2E">
            <w:pPr>
              <w:spacing w:beforeLines="0" w:afterLines="0"/>
              <w:jc w:val="left"/>
              <w:rPr>
                <w:rFonts w:hint="default" w:ascii="Times New Roman CYR" w:hAnsi="Times New Roman CYR" w:eastAsia="Times New Roman CYR"/>
                <w:sz w:val="22"/>
                <w:szCs w:val="24"/>
              </w:rPr>
            </w:pPr>
          </w:p>
        </w:tc>
      </w:tr>
      <w:tr w14:paraId="19D30C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115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довгостроковими зобов’язаннями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F0D6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83E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F2D8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r>
      <w:tr w14:paraId="47800B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37D6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ADFC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DD4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148D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D4EB7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F3D3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79E5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35D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2389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334</w:t>
            </w:r>
          </w:p>
        </w:tc>
      </w:tr>
      <w:tr w14:paraId="21168E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AC980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у тому числі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75C7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8802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A6ED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6CE18C2">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FA9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4DF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8801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BD7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w:t>
            </w:r>
          </w:p>
        </w:tc>
      </w:tr>
      <w:tr w14:paraId="4CBE7D2C">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0A29D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509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97E0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380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82CE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734</w:t>
            </w:r>
          </w:p>
        </w:tc>
      </w:tr>
      <w:tr w14:paraId="70CDE319">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BF87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одержаними авансами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26F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C40A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5 176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A731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4 363</w:t>
            </w:r>
          </w:p>
        </w:tc>
      </w:tr>
      <w:tr w14:paraId="117BBB34">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451AB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учасниками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0673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1640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5472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227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1A57A2A">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5C2D1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із внутрішніх розрахунків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C82D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1645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A4F3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9D0D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CE02DC6">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6FC5E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страховою діяльністю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9ED7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1650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A972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83DB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3DAFEAF">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2BA89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83C8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1660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04E3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0F44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3CC5051">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43AFD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Доходи майбутніх періодів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F1C6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1665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3D1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F5C8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D31F7C2">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86E4F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комісійні доходи від перестраховиків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E79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1670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293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10C6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F1A7B20">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89DE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DDB0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2FE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3 375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9083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2 847</w:t>
            </w:r>
          </w:p>
        </w:tc>
      </w:tr>
      <w:tr w14:paraId="258794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0F03D5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IІІ</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A9E89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33C51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9 293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C3771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8 353</w:t>
            </w:r>
          </w:p>
        </w:tc>
      </w:tr>
      <w:tr w14:paraId="77EDC0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DFF8D3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ІV. Зобов’язання, пов’язані з необоротними активами, утримуваними для продажу, та групами вибуття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706E9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1700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FA174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C7907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038E56F">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3DD5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Чиста вартість активів недержавного пенсійного фонду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4C8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BA64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537D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73477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FAEC08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F4536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E4BC5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66 028</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F0B89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65 410</w:t>
            </w:r>
          </w:p>
        </w:tc>
      </w:tr>
    </w:tbl>
    <w:p w14:paraId="29A30859">
      <w:pPr>
        <w:spacing w:beforeLines="0" w:afterLines="0"/>
        <w:jc w:val="left"/>
        <w:rPr>
          <w:rFonts w:hint="default" w:ascii="Times New Roman CYR" w:hAnsi="Times New Roman CYR" w:eastAsia="Times New Roman CYR"/>
          <w:sz w:val="22"/>
          <w:szCs w:val="24"/>
        </w:rPr>
      </w:pPr>
    </w:p>
    <w:p w14:paraId="7C7EF32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Кузнєцова Мирослава Олегiвна</w:t>
      </w:r>
    </w:p>
    <w:p w14:paraId="5FDCB958">
      <w:pPr>
        <w:spacing w:beforeLines="0" w:afterLines="0"/>
        <w:jc w:val="left"/>
        <w:rPr>
          <w:rFonts w:hint="default" w:ascii="Times New Roman CYR" w:hAnsi="Times New Roman CYR" w:eastAsia="Times New Roman CYR"/>
          <w:sz w:val="22"/>
          <w:szCs w:val="24"/>
        </w:rPr>
      </w:pPr>
    </w:p>
    <w:p w14:paraId="44E714C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73BD80E1">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66"/>
        <w:gridCol w:w="1654"/>
        <w:gridCol w:w="1720"/>
      </w:tblGrid>
      <w:tr w14:paraId="7902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280" w:type="dxa"/>
          <w:trHeight w:val="300" w:hRule="atLeast"/>
        </w:trPr>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3E31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4784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26" w:type="dxa"/>
          <w:trHeight w:val="300" w:hRule="atLeast"/>
        </w:trPr>
        <w:tc>
          <w:tcPr>
            <w:tcW w:w="1654" w:type="dxa"/>
            <w:tcBorders>
              <w:top w:val="nil"/>
              <w:left w:val="nil"/>
              <w:bottom w:val="nil"/>
              <w:right w:val="single" w:color="auto" w:sz="6" w:space="0"/>
              <w:tl2br w:val="nil"/>
              <w:tr2bl w:val="nil"/>
            </w:tcBorders>
            <w:noWrap w:val="0"/>
            <w:vAlign w:val="center"/>
          </w:tcPr>
          <w:p w14:paraId="0E77E17D">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6502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01.01.2026</w:t>
            </w:r>
          </w:p>
        </w:tc>
      </w:tr>
      <w:tr w14:paraId="6AC4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141376D8">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66" w:type="dxa"/>
            <w:tcBorders>
              <w:top w:val="nil"/>
              <w:left w:val="nil"/>
              <w:bottom w:val="nil"/>
              <w:right w:val="nil"/>
              <w:tl2br w:val="nil"/>
              <w:tr2bl w:val="nil"/>
            </w:tcBorders>
            <w:noWrap w:val="0"/>
            <w:vAlign w:val="center"/>
          </w:tcPr>
          <w:p w14:paraId="32F7582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654" w:type="dxa"/>
            <w:tcBorders>
              <w:top w:val="nil"/>
              <w:left w:val="nil"/>
              <w:bottom w:val="nil"/>
              <w:right w:val="single" w:color="auto" w:sz="6" w:space="0"/>
              <w:tl2br w:val="nil"/>
              <w:tr2bl w:val="nil"/>
            </w:tcBorders>
            <w:noWrap w:val="0"/>
            <w:vAlign w:val="center"/>
          </w:tcPr>
          <w:p w14:paraId="1301C6F6">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83D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bl>
    <w:p w14:paraId="165C7232">
      <w:pPr>
        <w:spacing w:beforeLines="0" w:afterLines="0"/>
        <w:jc w:val="left"/>
        <w:rPr>
          <w:rFonts w:hint="default" w:ascii="Times New Roman CYR" w:hAnsi="Times New Roman CYR" w:eastAsia="Times New Roman CYR"/>
          <w:sz w:val="22"/>
          <w:szCs w:val="24"/>
        </w:rPr>
      </w:pPr>
    </w:p>
    <w:p w14:paraId="1B85AF0B">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фінансові результати</w:t>
      </w:r>
    </w:p>
    <w:p w14:paraId="728E6152">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сукупний дохід)</w:t>
      </w:r>
    </w:p>
    <w:p w14:paraId="6583B8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2025 рік</w:t>
      </w:r>
    </w:p>
    <w:p w14:paraId="50D4A7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w:t>
      </w:r>
    </w:p>
    <w:p w14:paraId="63762A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 Фінансові результати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524"/>
        <w:gridCol w:w="1205"/>
        <w:gridCol w:w="296"/>
        <w:gridCol w:w="1349"/>
      </w:tblGrid>
      <w:tr w14:paraId="5B59FA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150" w:type="dxa"/>
          <w:trHeight w:val="280" w:hRule="atLeast"/>
        </w:trPr>
        <w:tc>
          <w:tcPr>
            <w:tcW w:w="1501" w:type="dxa"/>
            <w:gridSpan w:val="2"/>
            <w:tcBorders>
              <w:top w:val="nil"/>
              <w:left w:val="nil"/>
              <w:bottom w:val="nil"/>
              <w:right w:val="single" w:color="auto" w:sz="6" w:space="0"/>
              <w:tl2br w:val="nil"/>
              <w:tr2bl w:val="nil"/>
            </w:tcBorders>
            <w:noWrap w:val="0"/>
            <w:vAlign w:val="center"/>
          </w:tcPr>
          <w:p w14:paraId="5799A129">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349" w:type="dxa"/>
            <w:tcBorders>
              <w:top w:val="single" w:color="auto" w:sz="6" w:space="0"/>
              <w:left w:val="single" w:color="auto" w:sz="6" w:space="0"/>
              <w:bottom w:val="single" w:color="auto" w:sz="6" w:space="0"/>
              <w:right w:val="single" w:color="auto" w:sz="6" w:space="0"/>
              <w:tl2br w:val="nil"/>
              <w:tr2bl w:val="nil"/>
            </w:tcBorders>
            <w:noWrap w:val="0"/>
            <w:vAlign w:val="top"/>
          </w:tcPr>
          <w:p w14:paraId="09982E87">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1801003</w:t>
            </w:r>
          </w:p>
        </w:tc>
      </w:tr>
      <w:tr w14:paraId="02D5FA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C60F4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BA423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13E2F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53E3F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2BA208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3B03F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D927F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935F2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E2E60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05934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45570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296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0675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41 163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12D4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39 749</w:t>
            </w:r>
          </w:p>
        </w:tc>
      </w:tr>
      <w:tr w14:paraId="00BE5F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DEA2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Чисті зароблені страхові премії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4FA1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0715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3C56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00EE1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0F2A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Премії підписані, валова сума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C6A0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1FCA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F9C7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E9877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7658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Премії, передані у перестрахування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E5F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0B29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45BF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2A99EB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470D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резерву незароблених премій, валова сума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68B1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7E6B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DAFB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EBA49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6AB4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частки перестраховиків у резерві незароблених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870A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2014</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3CD6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A7DF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AFA7C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7D305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2EE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D8CC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( 36 829 )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F809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( 34 378 )</w:t>
            </w:r>
          </w:p>
        </w:tc>
      </w:tr>
      <w:tr w14:paraId="1F0D97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CD177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Чисті понесені збитки за страховими виплатами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289A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1DDF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D11B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243D0B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88267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Валовий:</w:t>
            </w:r>
          </w:p>
          <w:p w14:paraId="5B8CC36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4306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AD52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4 334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4ECF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5 371</w:t>
            </w:r>
          </w:p>
        </w:tc>
      </w:tr>
      <w:tr w14:paraId="4FB2EF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A00A4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7D9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0789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07DE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4AFB5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005C2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(витрати) від зміни у резервах довгострокових зобов’язань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200F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0D02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7851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BFB36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81234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(витрати) від зміни інших страхових резервів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DE39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BB04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3BCF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A593B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8B13B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інших страхових резервів, валова сума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63D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8942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6209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B748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288D2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частки перестраховиків в інших страхових резервах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777E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D8E7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15CF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AD63B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17BD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операційні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6588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3FC2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7 332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7456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4 737</w:t>
            </w:r>
          </w:p>
        </w:tc>
      </w:tr>
      <w:tr w14:paraId="247317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09DE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зміни вартості активів, які оцінюються за справедливою вартістю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8132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C86F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6564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03D1F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FA6A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первісного визнання біологічних активів і сільськогосподарської продукції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ABBE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2A70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B291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F8E4C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00DEF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використання коштів, вивільнених від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37CB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E957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B1B3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C7455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8E864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Адміністративні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1C11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E7C2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( 8 043 )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1282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( 7 117 )</w:t>
            </w:r>
          </w:p>
        </w:tc>
      </w:tr>
      <w:tr w14:paraId="601FB9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0816D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на збут</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2D9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A84C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E2DB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13CF3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604A4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операційні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94D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7A6B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( 3 899 )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62E7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( 3 023 )</w:t>
            </w:r>
          </w:p>
        </w:tc>
      </w:tr>
      <w:tr w14:paraId="6DD8B8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1E9C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від зміни вартості активів, які оцінюються за справедливою вартістю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7518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2181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702E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39E6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E1134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537BF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від первісного визнання біологічних активів і сільськогосподарської продукції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8E10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2182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CE4A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7CB4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E06AF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6A4FB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Фінансовий результат від операційної діяльності:</w:t>
            </w:r>
          </w:p>
          <w:p w14:paraId="2CC00C1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2E57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E378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2E76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2FBCF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4FCAE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C8BE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E601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( 276 )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C565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( 32 )</w:t>
            </w:r>
          </w:p>
        </w:tc>
      </w:tr>
      <w:tr w14:paraId="33B7B7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912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участі в капіталі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6C5C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73DB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16E1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3A7F5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F6BD6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фінансові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B05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9D6A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467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D60E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346</w:t>
            </w:r>
          </w:p>
        </w:tc>
      </w:tr>
      <w:tr w14:paraId="2E16A3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7FCEA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7C0F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7C59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CD68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DF076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6603A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благодійної допомоги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0291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2241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17C0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77CF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016D8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2852A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4946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94CB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2265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B14A8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B7BA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Втрати від участі в капіталі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8202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7883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42E1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60D01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2A4BD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6BD3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5D07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C01F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19BF9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D4746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Прибуток (збиток) від впливу інфляції на монетарні статті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FB7D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2275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1AF8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97EC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B8F5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5546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Фінансовий результат до оподаткування:</w:t>
            </w:r>
          </w:p>
          <w:p w14:paraId="26BCE7E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071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FBB5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664C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314</w:t>
            </w:r>
          </w:p>
        </w:tc>
      </w:tr>
      <w:tr w14:paraId="530365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FD7A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0AAA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1B26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0D6D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044F9E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EEA9D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(дохід)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D7C6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C098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7048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-95</w:t>
            </w:r>
          </w:p>
        </w:tc>
      </w:tr>
      <w:tr w14:paraId="0BC46C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B768B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Прибуток (збиток) від припиненої діяльності після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F2D3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ED67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322A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A373A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83A38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фінансовий результат:</w:t>
            </w:r>
          </w:p>
          <w:p w14:paraId="6B98EA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89AA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BF88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A371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219</w:t>
            </w:r>
          </w:p>
        </w:tc>
      </w:tr>
      <w:tr w14:paraId="44875B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1635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4FD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D511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D943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( 0 )</w:t>
            </w:r>
          </w:p>
        </w:tc>
      </w:tr>
    </w:tbl>
    <w:p w14:paraId="4081DF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II. Сукупний дохід</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2B5941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633AF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E34DF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9DF57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53593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26549D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80B17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66EB2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7DA71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714B5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639F5F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17424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Дооцінка (уцінка) необоротних активів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71DD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6B05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F7B5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4D8DF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C6F93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Дооцінка (уцінка) фінансових інструментів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8F56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4F5A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4D0E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2C7DE0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99FF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Накопичені курсові різниці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0B06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DF35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28F7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5D474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3C0B5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іншого сукупного доходу асоційованих та спільних підприємств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0381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915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00E7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61385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53663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Інший сукупний дохід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94C3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2445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245F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2F4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D7736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9D4288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Інший сукупний дохід до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1DD9B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2450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803CC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A4117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5E536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C60C3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 пов’язаний з іншим сукупним доходом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FB46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2455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A35D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A6B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DBCC3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3C5835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Інший сукупний дохід після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59DE3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2460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87F24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1D3DE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9893D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605031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Сукупний дохід (сума рядків 2350, 2355 та 2460)</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1F6E5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2465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87655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7D381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219</w:t>
            </w:r>
          </w:p>
        </w:tc>
      </w:tr>
    </w:tbl>
    <w:p w14:paraId="64919F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III. Елементи операційних витрат</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0B8595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B156B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статті</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54AC0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40CD2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B3643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10B5FB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7D07C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C097F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08172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ADC19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31FD3C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0A05F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Матеріальні затрати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DD7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A6BF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26 368</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A8E2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23 912</w:t>
            </w:r>
          </w:p>
        </w:tc>
      </w:tr>
      <w:tr w14:paraId="78B1C4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F4971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на оплату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185C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159D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15 220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19B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14 297</w:t>
            </w:r>
          </w:p>
        </w:tc>
      </w:tr>
      <w:tr w14:paraId="113A5D3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9BCAC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Відрахування на соціальні заходи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236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07B0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3 348</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27A3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3 061</w:t>
            </w:r>
          </w:p>
        </w:tc>
      </w:tr>
      <w:tr w14:paraId="0CCFB3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6D277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Амортизація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7A83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16ED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1 757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796B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1 746</w:t>
            </w:r>
          </w:p>
        </w:tc>
      </w:tr>
      <w:tr w14:paraId="6D904F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493B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операційні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067E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4706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2 078</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73CF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1 502</w:t>
            </w:r>
          </w:p>
        </w:tc>
      </w:tr>
      <w:tr w14:paraId="59B52E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675A36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Разом</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4B9B9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2550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BB59B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48 771</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D8CE2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44 518</w:t>
            </w:r>
          </w:p>
        </w:tc>
      </w:tr>
    </w:tbl>
    <w:p w14:paraId="7B522C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ІV. Розрахунок показників прибутковості акцій</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421FF7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18EF0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статті</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A6898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61467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DCB43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0562C0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68812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366BB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63005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0A542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62CF12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A459C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Середньорічна кількість простих акцій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548C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3126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AC26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949CE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50B63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Скоригована середньорічна кількість простих акцій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E485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6D81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A4C3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C54C0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B3950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прибуток (збиток) на одну просту акцію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E323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C968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5923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r>
      <w:tr w14:paraId="7A4A2D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30AC2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чистий прибуток (збиток) на одну просту акцію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0038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2357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3863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r>
      <w:tr w14:paraId="659121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E077D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Дивіденди на одну просту акцію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064D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2650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4CB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7A0D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w:t>
            </w:r>
          </w:p>
        </w:tc>
      </w:tr>
    </w:tbl>
    <w:p w14:paraId="58BDFF1D">
      <w:pPr>
        <w:spacing w:beforeLines="0" w:afterLines="0"/>
        <w:jc w:val="left"/>
        <w:rPr>
          <w:rFonts w:hint="default" w:ascii="Times New Roman CYR" w:hAnsi="Times New Roman CYR" w:eastAsia="Times New Roman CYR"/>
          <w:sz w:val="22"/>
          <w:szCs w:val="24"/>
        </w:rPr>
      </w:pPr>
    </w:p>
    <w:p w14:paraId="240CE32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Кузнєцова Мирослава Олегiвна</w:t>
      </w:r>
    </w:p>
    <w:p w14:paraId="44C37B62">
      <w:pPr>
        <w:spacing w:beforeLines="0" w:afterLines="0"/>
        <w:jc w:val="left"/>
        <w:rPr>
          <w:rFonts w:hint="default" w:ascii="Times New Roman CYR" w:hAnsi="Times New Roman CYR" w:eastAsia="Times New Roman CYR"/>
          <w:sz w:val="22"/>
          <w:szCs w:val="24"/>
        </w:rPr>
      </w:pPr>
    </w:p>
    <w:p w14:paraId="5693F17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212EB828">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3823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00"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9CB1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7D1F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00" w:hRule="atLeast"/>
        </w:trPr>
        <w:tc>
          <w:tcPr>
            <w:tcW w:w="1990" w:type="dxa"/>
            <w:tcBorders>
              <w:top w:val="nil"/>
              <w:left w:val="nil"/>
              <w:bottom w:val="nil"/>
              <w:right w:val="single" w:color="auto" w:sz="6" w:space="0"/>
              <w:tl2br w:val="nil"/>
              <w:tr2bl w:val="nil"/>
            </w:tcBorders>
            <w:noWrap w:val="0"/>
            <w:vAlign w:val="center"/>
          </w:tcPr>
          <w:p w14:paraId="342FE45D">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D96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01.01.2026</w:t>
            </w:r>
          </w:p>
        </w:tc>
      </w:tr>
      <w:tr w14:paraId="6F29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121DFD5B">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tcBorders>
              <w:top w:val="nil"/>
              <w:left w:val="nil"/>
              <w:bottom w:val="nil"/>
              <w:right w:val="nil"/>
              <w:tl2br w:val="nil"/>
              <w:tr2bl w:val="nil"/>
            </w:tcBorders>
            <w:noWrap w:val="0"/>
            <w:vAlign w:val="top"/>
          </w:tcPr>
          <w:p w14:paraId="6535779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990" w:type="dxa"/>
            <w:tcBorders>
              <w:top w:val="nil"/>
              <w:left w:val="nil"/>
              <w:bottom w:val="nil"/>
              <w:right w:val="single" w:color="auto" w:sz="6" w:space="0"/>
              <w:tl2br w:val="nil"/>
              <w:tr2bl w:val="nil"/>
            </w:tcBorders>
            <w:noWrap w:val="0"/>
            <w:vAlign w:val="center"/>
          </w:tcPr>
          <w:p w14:paraId="46E169BD">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47ED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bl>
    <w:p w14:paraId="5A5B08E1">
      <w:pPr>
        <w:spacing w:beforeLines="0" w:afterLines="0"/>
        <w:jc w:val="left"/>
        <w:rPr>
          <w:rFonts w:hint="default" w:ascii="Times New Roman CYR" w:hAnsi="Times New Roman CYR" w:eastAsia="Times New Roman CYR"/>
          <w:sz w:val="22"/>
          <w:szCs w:val="24"/>
        </w:rPr>
      </w:pPr>
    </w:p>
    <w:p w14:paraId="1FC1F0D2">
      <w:pPr>
        <w:spacing w:beforeLines="0" w:afterLines="0"/>
        <w:jc w:val="left"/>
        <w:rPr>
          <w:rFonts w:hint="default" w:ascii="Times New Roman CYR" w:hAnsi="Times New Roman CYR" w:eastAsia="Times New Roman CYR"/>
          <w:sz w:val="22"/>
          <w:szCs w:val="24"/>
        </w:rPr>
      </w:pPr>
    </w:p>
    <w:p w14:paraId="3742EE8E">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рух грошових коштів (за прямим методом)</w:t>
      </w:r>
    </w:p>
    <w:p w14:paraId="275576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2025 рік</w:t>
      </w:r>
    </w:p>
    <w:p w14:paraId="75B9C5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№3</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60F69B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28A4B7FD">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C02576">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1801004</w:t>
            </w:r>
          </w:p>
        </w:tc>
      </w:tr>
      <w:tr w14:paraId="613828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8FC36C6">
            <w:pPr>
              <w:spacing w:beforeLines="0" w:afterLines="0"/>
              <w:jc w:val="right"/>
              <w:rPr>
                <w:rFonts w:hint="default" w:ascii="Times New Roman CYR" w:hAnsi="Times New Roman CYR" w:eastAsia="Times New Roman CYR"/>
                <w:sz w:val="22"/>
                <w:szCs w:val="24"/>
              </w:rPr>
            </w:pPr>
          </w:p>
          <w:p w14:paraId="31F2E4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14B04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891FA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E3456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626BD7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2C64E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112E7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47C74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2E5D8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63A47C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8EF3D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Рух коштів у результаті операційної діяльності</w:t>
            </w:r>
          </w:p>
          <w:p w14:paraId="77DF3C5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AC7291">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4A3091">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90416C">
            <w:pPr>
              <w:spacing w:beforeLines="0" w:afterLines="0"/>
              <w:jc w:val="left"/>
              <w:rPr>
                <w:rFonts w:hint="default" w:ascii="Times New Roman CYR" w:hAnsi="Times New Roman CYR" w:eastAsia="Times New Roman CYR"/>
                <w:sz w:val="22"/>
                <w:szCs w:val="24"/>
              </w:rPr>
            </w:pPr>
          </w:p>
        </w:tc>
      </w:tr>
      <w:tr w14:paraId="133858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6BBF4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208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B1E6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56 175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6424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47 919</w:t>
            </w:r>
          </w:p>
        </w:tc>
      </w:tr>
      <w:tr w14:paraId="075952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74DB6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Повернення податків і зборів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6B76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FBDE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6F9D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C2705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95AA2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у тому числі податку на додану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45FA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3006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2C5A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E41A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D6FB9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3087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Цільового фінансування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DF3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7F2B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84B0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121</w:t>
            </w:r>
          </w:p>
        </w:tc>
      </w:tr>
      <w:tr w14:paraId="3EC53A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96B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отримання субсидій, дотацій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3C7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DCFF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44DC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6EFF9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B5BE5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авансів від покупців і замовників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C76A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3D57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14EC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0D8C7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3A2C8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повернення авансів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C92D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2483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CC58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w:t>
            </w:r>
          </w:p>
        </w:tc>
      </w:tr>
      <w:tr w14:paraId="553BAA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BE1B9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відсотків за залишками коштів на поточних рахунках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9B6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3025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1047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447D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714C3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EAB0B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боржників неустойки (штрафів, пені)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05C3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4C3A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6BDB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9AC05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40A28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операційної оренди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8168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663C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2 297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DB5E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1 922</w:t>
            </w:r>
          </w:p>
        </w:tc>
      </w:tr>
      <w:tr w14:paraId="218752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5477D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Надходження від отримання роялті, авторських винагород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78C5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4276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270E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29830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636A8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страхових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84AF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2E5E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82AD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D9979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F8080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фінансових установ від повернення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11CF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09BD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8FD1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F58B6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686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надходження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4982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8D56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9A5D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60</w:t>
            </w:r>
          </w:p>
        </w:tc>
      </w:tr>
      <w:tr w14:paraId="133D04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B9DF2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Витрачання на оплату: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22C591">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75CE32">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702716">
            <w:pPr>
              <w:spacing w:beforeLines="0" w:afterLines="0"/>
              <w:jc w:val="left"/>
              <w:rPr>
                <w:rFonts w:hint="default" w:ascii="Times New Roman CYR" w:hAnsi="Times New Roman CYR" w:eastAsia="Times New Roman CYR"/>
                <w:sz w:val="22"/>
                <w:szCs w:val="24"/>
              </w:rPr>
            </w:pPr>
          </w:p>
        </w:tc>
      </w:tr>
      <w:tr w14:paraId="0E4776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D364F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D658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197D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( 32 431 )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6E42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( 28 306 )</w:t>
            </w:r>
          </w:p>
        </w:tc>
      </w:tr>
      <w:tr w14:paraId="7F7984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1AFE4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8B6B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8332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( 10 790 )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B45D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( 12 051 )</w:t>
            </w:r>
          </w:p>
        </w:tc>
      </w:tr>
      <w:tr w14:paraId="4C6219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1B76C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Відрахувань на соціальні заходи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5D0A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7A96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( 3 171 )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9405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( 3 355 )</w:t>
            </w:r>
          </w:p>
        </w:tc>
      </w:tr>
      <w:tr w14:paraId="4B82A3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E230B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Зобов'язань з податків і зборів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50E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1731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( 8 055 )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27C4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( 8 484 )</w:t>
            </w:r>
          </w:p>
        </w:tc>
      </w:tr>
      <w:tr w14:paraId="01EE019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23AA1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B1C1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76C4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( 398 )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4D4D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( 532 )</w:t>
            </w:r>
          </w:p>
        </w:tc>
      </w:tr>
      <w:tr w14:paraId="1A1481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702E5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 податку на додану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E562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3117</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7526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( 3 284 )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01F4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( 3 879 )</w:t>
            </w:r>
          </w:p>
        </w:tc>
      </w:tr>
      <w:tr w14:paraId="429639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02097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 інших податків і зборів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D867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3118</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8F4A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( 4 373 )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57D9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( 4 073 )</w:t>
            </w:r>
          </w:p>
        </w:tc>
      </w:tr>
      <w:tr w14:paraId="766992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96D6F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авансів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136F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71A6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58F2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692D4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9B50E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повернення авансів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193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9D84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( 199 )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AE13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( 19 )</w:t>
            </w:r>
          </w:p>
        </w:tc>
      </w:tr>
      <w:tr w14:paraId="03EA8E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E49C9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цільових внесків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56C0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6DA8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( 160 )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F509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( 99 )</w:t>
            </w:r>
          </w:p>
        </w:tc>
      </w:tr>
      <w:tr w14:paraId="2D7878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9368B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за страховими контрактами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22DA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8B30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E9D5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A0247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CC34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фінансових установ на надання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836C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A22B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332D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88657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1D21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витрачання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BE82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104E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( 113 )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F877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( 164 )</w:t>
            </w:r>
          </w:p>
        </w:tc>
      </w:tr>
      <w:tr w14:paraId="57A419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0E52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від операційної діяльності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3FF6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6EC1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3 784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DD0C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-2 326</w:t>
            </w:r>
          </w:p>
        </w:tc>
      </w:tr>
      <w:tr w14:paraId="74DFCF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F0E7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Рух коштів у результаті інвестиційної діяльності</w:t>
            </w:r>
          </w:p>
          <w:p w14:paraId="48C402A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реалізації: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8F4544">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C6B28E">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E8F716">
            <w:pPr>
              <w:spacing w:beforeLines="0" w:afterLines="0"/>
              <w:jc w:val="left"/>
              <w:rPr>
                <w:rFonts w:hint="default" w:ascii="Times New Roman CYR" w:hAnsi="Times New Roman CYR" w:eastAsia="Times New Roman CYR"/>
                <w:sz w:val="22"/>
                <w:szCs w:val="24"/>
              </w:rPr>
            </w:pPr>
          </w:p>
        </w:tc>
      </w:tr>
      <w:tr w14:paraId="411B66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2F48F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фінансових інвестицій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0A39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D5B3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A7BE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6A015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FD514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необоротних активів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9289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653F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3 591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DDCF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B5FB6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8847E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отриманих: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A2AEB4">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149D2A">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4AF54D">
            <w:pPr>
              <w:spacing w:beforeLines="0" w:afterLines="0"/>
              <w:jc w:val="left"/>
              <w:rPr>
                <w:rFonts w:hint="default" w:ascii="Times New Roman CYR" w:hAnsi="Times New Roman CYR" w:eastAsia="Times New Roman CYR"/>
                <w:sz w:val="22"/>
                <w:szCs w:val="24"/>
              </w:rPr>
            </w:pPr>
          </w:p>
        </w:tc>
      </w:tr>
      <w:tr w14:paraId="542275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DD819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відсотків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DB9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3C4A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A4B6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0F185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8E99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дивідендів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B187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91FF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F564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F70FC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F4C9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деривативів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A26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3225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1360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2D91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944A8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D7B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погашення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49A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999F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BAEA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139</w:t>
            </w:r>
          </w:p>
        </w:tc>
      </w:tr>
      <w:tr w14:paraId="5F28FD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0EB69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вибуття дочірнього підприємства та іншої господарської одиниці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E0DB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08F6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039A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8308E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09BCF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надходження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892B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2AED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798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499D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1 796</w:t>
            </w:r>
          </w:p>
        </w:tc>
      </w:tr>
      <w:tr w14:paraId="42C03E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0A2C7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придбання: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664BDF">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2F0276">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61BBD1">
            <w:pPr>
              <w:spacing w:beforeLines="0" w:afterLines="0"/>
              <w:jc w:val="left"/>
              <w:rPr>
                <w:rFonts w:hint="default" w:ascii="Times New Roman CYR" w:hAnsi="Times New Roman CYR" w:eastAsia="Times New Roman CYR"/>
                <w:sz w:val="22"/>
                <w:szCs w:val="24"/>
              </w:rPr>
            </w:pPr>
          </w:p>
        </w:tc>
      </w:tr>
      <w:tr w14:paraId="290ED6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1C203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фінансових інвестицій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606B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98BF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86BD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6D438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94DBE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необоротних активів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B0B2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06E8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( 1 762 )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403E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( 2 803 )</w:t>
            </w:r>
          </w:p>
        </w:tc>
      </w:tr>
      <w:tr w14:paraId="43E81C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BB072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Виплати за деривативами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40A1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9D52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3A55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4A06D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4CFDF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надання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EC05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3275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1A5F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3BF0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05269D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7AB73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придбання дочірнього підприємства та іншої господарської одиниці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89D5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BF8F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626A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B9A84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0E47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платежі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A6A5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DC00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CDA6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07407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EDC5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від інвестиційної діяльності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F39E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C0B0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2 673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FC9B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-868</w:t>
            </w:r>
          </w:p>
        </w:tc>
      </w:tr>
      <w:tr w14:paraId="0605C5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08970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Рух коштів у результаті фінансової діяльності</w:t>
            </w:r>
          </w:p>
          <w:p w14:paraId="4AAE3B1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A4EF5D">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3690B6">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5DF0B0">
            <w:pPr>
              <w:spacing w:beforeLines="0" w:afterLines="0"/>
              <w:jc w:val="left"/>
              <w:rPr>
                <w:rFonts w:hint="default" w:ascii="Times New Roman CYR" w:hAnsi="Times New Roman CYR" w:eastAsia="Times New Roman CYR"/>
                <w:sz w:val="22"/>
                <w:szCs w:val="24"/>
              </w:rPr>
            </w:pPr>
          </w:p>
        </w:tc>
      </w:tr>
      <w:tr w14:paraId="0AE0D4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01912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Власного капіталу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4BDA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A435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1DC8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A217C3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4B63D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Отримання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6EC8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B17A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0112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45903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89D9B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продажу частки в дочірньому підприємстві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AAD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4E6F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95F7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8F331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2F56D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надходження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760E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F848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467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8D73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345</w:t>
            </w:r>
          </w:p>
        </w:tc>
      </w:tr>
      <w:tr w14:paraId="7529E2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85E2F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29F494">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CA0BFA">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CAD1FE">
            <w:pPr>
              <w:spacing w:beforeLines="0" w:afterLines="0"/>
              <w:jc w:val="left"/>
              <w:rPr>
                <w:rFonts w:hint="default" w:ascii="Times New Roman CYR" w:hAnsi="Times New Roman CYR" w:eastAsia="Times New Roman CYR"/>
                <w:sz w:val="22"/>
                <w:szCs w:val="24"/>
              </w:rPr>
            </w:pPr>
          </w:p>
        </w:tc>
      </w:tr>
      <w:tr w14:paraId="2440B8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4A7F4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Викуп власних акцій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7CBB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371C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718C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B5B6D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8C42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Погашення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2352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63B1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AFE2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442349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DDDAA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Сплату дивідендів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9170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0D8C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9219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03C380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055F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сплату відсотків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515E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3321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E020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425508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A79DE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сплату заборгованості з фінансової оренди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FEAA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691A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0D89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436525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314B5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придбання частки в дочірньому підприємстві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3C52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2209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9783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CE7D5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C5B0B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виплати неконтрольованим часткам у дочірніх підприємствах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28C7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3375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91C7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2D9A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0E7703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C91F9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платежі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5592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8CE2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0C15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0F2EB1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715E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від фінансової діяльності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F55C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1648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467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9205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345</w:t>
            </w:r>
          </w:p>
        </w:tc>
      </w:tr>
      <w:tr w14:paraId="52673D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39E20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за звітний період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C6DA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C87E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6 924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C497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-2 849</w:t>
            </w:r>
          </w:p>
        </w:tc>
      </w:tr>
      <w:tr w14:paraId="12ABFC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35D56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Залишок коштів на початок року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32A9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7A74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2 794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D3A9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5 643</w:t>
            </w:r>
          </w:p>
        </w:tc>
      </w:tr>
      <w:tr w14:paraId="4F46AB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6FBA8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Вплив зміни валютних курсів на залишок коштів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73B5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56A6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A4BB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8FAA0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E1A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Залишок коштів на кінець року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EA5C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A8B1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9 718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FD45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2 794</w:t>
            </w:r>
          </w:p>
        </w:tc>
      </w:tr>
    </w:tbl>
    <w:p w14:paraId="686709E0">
      <w:pPr>
        <w:spacing w:beforeLines="0" w:afterLines="0"/>
        <w:jc w:val="left"/>
        <w:rPr>
          <w:rFonts w:hint="default" w:ascii="Times New Roman CYR" w:hAnsi="Times New Roman CYR" w:eastAsia="Times New Roman CYR"/>
          <w:sz w:val="22"/>
          <w:szCs w:val="24"/>
        </w:rPr>
      </w:pPr>
    </w:p>
    <w:p w14:paraId="1F9EFE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Кузнєцова Мирослава Олегiвна</w:t>
      </w:r>
    </w:p>
    <w:p w14:paraId="0E171C40">
      <w:pPr>
        <w:spacing w:beforeLines="0" w:afterLines="0"/>
        <w:jc w:val="left"/>
        <w:rPr>
          <w:rFonts w:hint="default" w:ascii="Times New Roman CYR" w:hAnsi="Times New Roman CYR" w:eastAsia="Times New Roman CYR"/>
          <w:sz w:val="22"/>
          <w:szCs w:val="24"/>
        </w:rPr>
      </w:pPr>
    </w:p>
    <w:p w14:paraId="29769EA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18637234">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3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40"/>
        <w:gridCol w:w="5500"/>
        <w:gridCol w:w="1800"/>
        <w:gridCol w:w="2000"/>
      </w:tblGrid>
      <w:tr w14:paraId="1C88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9540" w:type="dxa"/>
          <w:trHeight w:val="298"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9563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5D66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7740" w:type="dxa"/>
          <w:trHeight w:val="298" w:hRule="atLeast"/>
        </w:trPr>
        <w:tc>
          <w:tcPr>
            <w:tcW w:w="1800" w:type="dxa"/>
            <w:tcBorders>
              <w:top w:val="nil"/>
              <w:left w:val="nil"/>
              <w:bottom w:val="nil"/>
              <w:right w:val="single" w:color="auto" w:sz="6" w:space="0"/>
              <w:tl2br w:val="nil"/>
              <w:tr2bl w:val="nil"/>
            </w:tcBorders>
            <w:noWrap w:val="0"/>
            <w:vAlign w:val="center"/>
          </w:tcPr>
          <w:p w14:paraId="5943C437">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0199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01.01.2026</w:t>
            </w:r>
          </w:p>
        </w:tc>
      </w:tr>
      <w:tr w14:paraId="701AD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op w:val="nil"/>
              <w:left w:val="nil"/>
              <w:bottom w:val="nil"/>
              <w:right w:val="nil"/>
              <w:tl2br w:val="nil"/>
              <w:tr2bl w:val="nil"/>
            </w:tcBorders>
            <w:noWrap w:val="0"/>
            <w:vAlign w:val="center"/>
          </w:tcPr>
          <w:p w14:paraId="1B6F3DF2">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5500" w:type="dxa"/>
            <w:tcBorders>
              <w:top w:val="nil"/>
              <w:left w:val="nil"/>
              <w:bottom w:val="nil"/>
              <w:right w:val="nil"/>
              <w:tl2br w:val="nil"/>
              <w:tr2bl w:val="nil"/>
            </w:tcBorders>
            <w:noWrap w:val="0"/>
            <w:vAlign w:val="top"/>
          </w:tcPr>
          <w:p w14:paraId="2158C9D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800" w:type="dxa"/>
            <w:tcBorders>
              <w:top w:val="nil"/>
              <w:left w:val="nil"/>
              <w:bottom w:val="nil"/>
              <w:right w:val="single" w:color="auto" w:sz="6" w:space="0"/>
              <w:tl2br w:val="nil"/>
              <w:tr2bl w:val="nil"/>
            </w:tcBorders>
            <w:noWrap w:val="0"/>
            <w:vAlign w:val="center"/>
          </w:tcPr>
          <w:p w14:paraId="6061DF5B">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CB3A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bl>
    <w:p w14:paraId="3D683F61">
      <w:pPr>
        <w:spacing w:beforeLines="0" w:afterLines="0"/>
        <w:jc w:val="left"/>
        <w:rPr>
          <w:rFonts w:hint="default" w:ascii="Times New Roman CYR" w:hAnsi="Times New Roman CYR" w:eastAsia="Times New Roman CYR"/>
          <w:sz w:val="24"/>
          <w:szCs w:val="24"/>
        </w:rPr>
      </w:pPr>
    </w:p>
    <w:p w14:paraId="1C4E027D">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власний капітал</w:t>
      </w:r>
    </w:p>
    <w:p w14:paraId="1678D2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2025 рік</w:t>
      </w:r>
    </w:p>
    <w:p w14:paraId="5C1040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№4</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50"/>
        <w:gridCol w:w="1250"/>
        <w:gridCol w:w="1100"/>
        <w:gridCol w:w="1350"/>
        <w:gridCol w:w="1300"/>
        <w:gridCol w:w="1200"/>
        <w:gridCol w:w="1300"/>
        <w:gridCol w:w="950"/>
        <w:gridCol w:w="550"/>
        <w:gridCol w:w="1250"/>
        <w:gridCol w:w="50"/>
        <w:gridCol w:w="1250"/>
      </w:tblGrid>
      <w:tr w14:paraId="4133BD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8"/>
          <w:wBefore w:w="11500" w:type="dxa"/>
          <w:trHeight w:val="280" w:hRule="atLeast"/>
        </w:trPr>
        <w:tc>
          <w:tcPr>
            <w:tcW w:w="1800" w:type="dxa"/>
            <w:gridSpan w:val="2"/>
            <w:tcBorders>
              <w:top w:val="nil"/>
              <w:left w:val="nil"/>
              <w:bottom w:val="nil"/>
              <w:right w:val="single" w:color="auto" w:sz="6" w:space="0"/>
              <w:tl2br w:val="nil"/>
              <w:tr2bl w:val="nil"/>
            </w:tcBorders>
            <w:noWrap w:val="0"/>
            <w:vAlign w:val="center"/>
          </w:tcPr>
          <w:p w14:paraId="345320A0">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C57D9E">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1801005</w:t>
            </w:r>
          </w:p>
        </w:tc>
      </w:tr>
      <w:tr w14:paraId="290BA3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0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66483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A69AF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1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F6268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Зареєстрований капітал</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E43D5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 у дооцінках</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8CA5E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Додатковий капітал</w:t>
            </w:r>
          </w:p>
        </w:tc>
        <w:tc>
          <w:tcPr>
            <w:tcW w:w="12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AC5BE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Резервний капітал</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7BBE8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15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6ECAA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13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91A84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Вилучений капітал</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4DB84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Всього</w:t>
            </w:r>
          </w:p>
        </w:tc>
      </w:tr>
      <w:tr w14:paraId="3783F8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5AA89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CACCE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1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29265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06A75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CBABA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2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43698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5589C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5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0AF9E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3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E1938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B6DFC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4C9F77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58CD4">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Залишок на початок року</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E58C7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ECDC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4B545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9B2D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E3B0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A12A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54 610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B50FA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C6D28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C1CC0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55 945</w:t>
            </w:r>
          </w:p>
        </w:tc>
      </w:tr>
      <w:tr w14:paraId="48583C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CA231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Коригування:</w:t>
            </w:r>
          </w:p>
          <w:p w14:paraId="379E208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облікової політики</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AD9BE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0B23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DE5CA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37B9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6025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79B3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E1CC1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2B9A0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57AF1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0F0CF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1E1AA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Виправлення помилок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33B09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4010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0FD9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875D6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5EC1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0850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8432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8D442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83DFB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BA0CB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113CD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85A94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Інші зміни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4B21A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4090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590B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003B0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B624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03FF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4C96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4832E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D9DEA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C1725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r>
      <w:tr w14:paraId="2AC75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5A135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Скоригований залишок на початок року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2EC05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4095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B4C9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D7B49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E06E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0CDB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37AA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54 598</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E9699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68424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DD914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55 933</w:t>
            </w:r>
          </w:p>
        </w:tc>
      </w:tr>
      <w:tr w14:paraId="02B29A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71E5F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за звітний період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64646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0550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45423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7B00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4FE9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6BBC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A08B3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B2956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4A604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r>
      <w:tr w14:paraId="44097C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C812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Інший сукупний дохід за звітний період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02885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75E0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BA7F5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515E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02C7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1B71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AD8BA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520FA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5BAA9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291A6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5D06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Дооцінка (уцінка) необоротних активів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02073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4B45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A3A2A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47BC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68D2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0035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B331C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4D124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23423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20461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7901B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Дооцінка (уцінка) фінансових інструментів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D4625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4112</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23D2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84AA1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CDD0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DD54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EC0E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1C976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767F8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852CC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AEB7F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91D74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Накопичені курсові різниці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D593A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31B5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10FF0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B465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B82B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DC72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F2907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4603C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4091C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852FE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F189D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Частка іншого сукупного доходу асоційованих і спільних підприємств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FD1DF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4114</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54A2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84BFE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CA32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1563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CF52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1E497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DBF2E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8A8A5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B910F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E93EA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Інший сукупний дохід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E0397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4116</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87DD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624D6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E16E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9A87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4F24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9C258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3504F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56EB1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C9A4E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BC95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Розподіл прибутку: </w:t>
            </w:r>
          </w:p>
          <w:p w14:paraId="172B9FD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Виплати власникам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00665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FAA4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E6951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870E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B439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93B9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EA709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4806C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F57E2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6BA59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768E5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Спрямування прибутку до зареєстрованого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B84FF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4205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FC7F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8464C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07F1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1845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01AD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24D62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8AE83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15E95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D0553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15ECB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Відрахування до резервного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5C124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4210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E0FF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60CA4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3060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6541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CE36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05A9D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6AE66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0D395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C1940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26D5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Сума чистого прибутку, належна до бюджету відповідно до законодавства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A7A1D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4215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D551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75124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288C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1AEB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65D8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9FB3E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3E543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88932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485F3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33329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Сума чистого прибутку на створення спеціальних (цільових) фондів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14836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4220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3060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88193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FE3F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0F9D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CCE9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3E6AC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390E8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8F12A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D551C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F43FE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Сума чистого прибутку на матеріальне заохочення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A945E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4225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E6C4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29D61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F032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5A33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7FF5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020DF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404D4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27E52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0B507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E4B1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Внески учасників: </w:t>
            </w:r>
          </w:p>
          <w:p w14:paraId="293DA71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Внески до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43D3B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4240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3010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19845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3394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1E6A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A47F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8B8E6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680E5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BCF2F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8705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F4B2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Погашення заборгованості з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E0B6B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4245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B333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2D717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F7BD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BFE3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A9A6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72023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FE9B4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078EF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99D86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CC129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Вилучення капіталу: </w:t>
            </w:r>
          </w:p>
          <w:p w14:paraId="72E7411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Викуп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B9A1D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4260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8CFC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2B50C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0A28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CA21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5D28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1B84F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6F44A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73DCD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09333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819D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Перепродаж викуплених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459D0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4265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94EC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BB685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E018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4593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4361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E4539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F91FA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3E959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82A21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E1BBA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Анулювання викуплених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07E3C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4270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9A84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E4230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B9BF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5DC2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BABE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930B3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74C13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6D89E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A39AB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405D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Вилучення частки в капіталі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D654F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4275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1D27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ABE6A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2638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DD5F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2445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5F845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6A2C2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4FAC9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8E217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302C9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Зменшення номінальної вартості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9496C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4280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4759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A5016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19EF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795C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9105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ACC7B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D97C2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7082B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AC78F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D8F9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Інші зміни в капіталі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39913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7E32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5D476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BC79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AAD5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51F3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AC2FD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5B99C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12ADA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8BF3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37272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Придбання (продаж) неконтрольованої частки в дочірньому підприємстві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B13F5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8ACA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B4294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D98C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8580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736A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BF218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911BC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024B4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62703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CAB5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змін у капіталі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E0467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5B03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B995A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B7C0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5B8F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4B72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F759F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80932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4EF2C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r>
      <w:tr w14:paraId="2A5861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8A2A8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Залишок на кінець року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C7021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B72F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5F265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09D9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BB93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23F1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54 607</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BF445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C6BE2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A3B23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55 942</w:t>
            </w:r>
          </w:p>
        </w:tc>
      </w:tr>
    </w:tbl>
    <w:p w14:paraId="16A35085">
      <w:pPr>
        <w:spacing w:beforeLines="0" w:afterLines="0"/>
        <w:jc w:val="left"/>
        <w:rPr>
          <w:rFonts w:hint="default" w:ascii="Times New Roman CYR" w:hAnsi="Times New Roman CYR" w:eastAsia="Times New Roman CYR"/>
          <w:sz w:val="22"/>
          <w:szCs w:val="24"/>
        </w:rPr>
      </w:pPr>
    </w:p>
    <w:p w14:paraId="590790E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Кузнєцова Мирослава Олегiвна</w:t>
      </w:r>
    </w:p>
    <w:p w14:paraId="49369707">
      <w:pPr>
        <w:spacing w:beforeLines="0" w:afterLines="0"/>
        <w:jc w:val="left"/>
        <w:rPr>
          <w:rFonts w:hint="default" w:ascii="Times New Roman CYR" w:hAnsi="Times New Roman CYR" w:eastAsia="Times New Roman CYR"/>
          <w:sz w:val="22"/>
          <w:szCs w:val="24"/>
        </w:rPr>
      </w:pPr>
    </w:p>
    <w:p w14:paraId="20907D0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4C019F67">
      <w:pPr>
        <w:spacing w:beforeLines="0" w:afterLines="0"/>
        <w:jc w:val="left"/>
        <w:rPr>
          <w:rFonts w:hint="default" w:ascii="Times New Roman CYR" w:hAnsi="Times New Roman CYR" w:eastAsia="Times New Roman CYR"/>
          <w:sz w:val="22"/>
          <w:szCs w:val="24"/>
        </w:rPr>
        <w:sectPr>
          <w:pgSz w:w="16838" w:h="11906" w:orient="landscape"/>
          <w:pgMar w:top="570" w:right="720" w:bottom="570" w:left="720" w:header="720" w:footer="720" w:gutter="0"/>
          <w:lnNumType w:countBy="0" w:distance="360"/>
          <w:cols w:space="720" w:num="1"/>
        </w:sectPr>
      </w:pPr>
    </w:p>
    <w:p w14:paraId="31CD5E53">
      <w:pPr>
        <w:spacing w:beforeLines="0" w:afterLines="0"/>
        <w:jc w:val="left"/>
        <w:rPr>
          <w:rFonts w:hint="default" w:ascii="Times New Roman CYR" w:hAnsi="Times New Roman CYR" w:eastAsia="Times New Roman CYR"/>
          <w:sz w:val="22"/>
          <w:szCs w:val="24"/>
        </w:rPr>
        <w:sectPr>
          <w:pgSz w:w="16838" w:h="11906" w:orient="landscape"/>
          <w:pgMar w:top="570" w:right="720" w:bottom="570" w:left="720" w:header="720" w:footer="720" w:gutter="0"/>
          <w:lnNumType w:countBy="0" w:distance="360"/>
          <w:cols w:space="720" w:num="1"/>
        </w:sectPr>
      </w:pPr>
    </w:p>
    <w:p w14:paraId="47E8799D">
      <w:pPr>
        <w:spacing w:beforeLines="0" w:afterLines="0"/>
        <w:jc w:val="left"/>
        <w:rPr>
          <w:rFonts w:hint="default" w:ascii="Times New Roman CYR" w:hAnsi="Times New Roman CYR" w:eastAsia="Times New Roman CYR"/>
          <w:sz w:val="22"/>
          <w:szCs w:val="24"/>
        </w:rPr>
        <w:sectPr>
          <w:pgSz w:w="16838" w:h="11906" w:orient="landscape"/>
          <w:pgMar w:top="570" w:right="720" w:bottom="570" w:left="720" w:header="720" w:footer="720" w:gutter="0"/>
          <w:lnNumType w:countBy="0" w:distance="360"/>
          <w:cols w:space="720" w:num="1"/>
        </w:sectPr>
      </w:pPr>
    </w:p>
    <w:p w14:paraId="5D8AC8A2">
      <w:pPr>
        <w:spacing w:beforeLines="0" w:afterLines="0"/>
        <w:jc w:val="left"/>
        <w:rPr>
          <w:rFonts w:hint="default" w:ascii="Times New Roman CYR" w:hAnsi="Times New Roman CYR" w:eastAsia="Times New Roman CYR"/>
          <w:sz w:val="22"/>
          <w:szCs w:val="24"/>
        </w:rPr>
      </w:pPr>
    </w:p>
    <w:p w14:paraId="3194609F">
      <w:pPr>
        <w:spacing w:beforeLines="0" w:afterLines="0"/>
        <w:jc w:val="left"/>
        <w:rPr>
          <w:rFonts w:hint="default" w:ascii="Times New Roman CYR" w:hAnsi="Times New Roman CYR" w:eastAsia="Times New Roman CYR"/>
          <w:sz w:val="22"/>
          <w:szCs w:val="24"/>
        </w:rPr>
      </w:pPr>
    </w:p>
    <w:sectPr>
      <w:pgSz w:w="16838" w:h="11906" w:orient="landscape"/>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6BA5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51</Pages>
  <TotalTime>2</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2026-04-30T06:48:10Z</dcterms:created>
  <dc:creator>Дмитро</dc:creator>
  <cp:lastModifiedBy>Дмитро</cp:lastModifiedBy>
  <dcterms:modified xsi:type="dcterms:W3CDTF">2026-04-30T06:50:50Z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53E4336722334C9D9BB443169BE650F4_13</vt:lpwstr>
  </property>
</Properties>
</file>